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71" w:rsidRPr="00AF202F" w:rsidRDefault="003E0671" w:rsidP="00FA34BB">
      <w:pPr>
        <w:outlineLvl w:val="0"/>
        <w:rPr>
          <w:rFonts w:ascii="Tahoma" w:hAnsi="Tahoma" w:cs="Tahoma"/>
          <w:b/>
          <w:sz w:val="32"/>
        </w:rPr>
      </w:pPr>
      <w:r w:rsidRPr="00AF202F">
        <w:rPr>
          <w:rFonts w:ascii="Tahoma" w:hAnsi="Tahoma" w:cs="Tahoma"/>
          <w:b/>
          <w:sz w:val="32"/>
        </w:rPr>
        <w:t>Information für die Schülerinnen und Schüler der Jahrgangsstufe 10</w:t>
      </w:r>
    </w:p>
    <w:p w:rsidR="00FA34BB" w:rsidRPr="00AC446D" w:rsidRDefault="00FA34BB" w:rsidP="00FA34BB">
      <w:pPr>
        <w:jc w:val="both"/>
        <w:rPr>
          <w:rFonts w:ascii="Tahoma" w:hAnsi="Tahoma" w:cs="Tahoma"/>
          <w:sz w:val="16"/>
          <w:szCs w:val="16"/>
        </w:rPr>
      </w:pPr>
    </w:p>
    <w:p w:rsidR="00FA34BB" w:rsidRPr="00AF202F" w:rsidRDefault="00FA34BB" w:rsidP="00FA34BB">
      <w:pPr>
        <w:jc w:val="center"/>
        <w:outlineLvl w:val="0"/>
        <w:rPr>
          <w:rFonts w:ascii="Tahoma" w:hAnsi="Tahoma" w:cs="Tahoma"/>
          <w:b/>
          <w:sz w:val="40"/>
        </w:rPr>
      </w:pPr>
      <w:r w:rsidRPr="00AF202F">
        <w:rPr>
          <w:rFonts w:ascii="Tahoma" w:hAnsi="Tahoma" w:cs="Tahoma"/>
          <w:b/>
          <w:sz w:val="40"/>
        </w:rPr>
        <w:t>Profilfächer</w:t>
      </w:r>
      <w:r>
        <w:rPr>
          <w:rFonts w:ascii="Tahoma" w:hAnsi="Tahoma" w:cs="Tahoma"/>
          <w:b/>
          <w:sz w:val="40"/>
        </w:rPr>
        <w:t xml:space="preserve"> für d</w:t>
      </w:r>
      <w:r w:rsidR="005F5A8F">
        <w:rPr>
          <w:rFonts w:ascii="Tahoma" w:hAnsi="Tahoma" w:cs="Tahoma"/>
          <w:b/>
          <w:sz w:val="40"/>
        </w:rPr>
        <w:t>ie</w:t>
      </w:r>
      <w:r>
        <w:rPr>
          <w:rFonts w:ascii="Tahoma" w:hAnsi="Tahoma" w:cs="Tahoma"/>
          <w:b/>
          <w:sz w:val="40"/>
        </w:rPr>
        <w:t xml:space="preserve"> Schuljahr</w:t>
      </w:r>
      <w:r w:rsidR="005F5A8F">
        <w:rPr>
          <w:rFonts w:ascii="Tahoma" w:hAnsi="Tahoma" w:cs="Tahoma"/>
          <w:b/>
          <w:sz w:val="40"/>
        </w:rPr>
        <w:t>e</w:t>
      </w:r>
      <w:r w:rsidR="007268C5">
        <w:rPr>
          <w:rFonts w:ascii="Tahoma" w:hAnsi="Tahoma" w:cs="Tahoma"/>
          <w:b/>
          <w:sz w:val="40"/>
        </w:rPr>
        <w:t xml:space="preserve"> 2020-2022</w:t>
      </w:r>
    </w:p>
    <w:p w:rsidR="00FA34BB" w:rsidRDefault="00FA34BB" w:rsidP="00FA34BB">
      <w:pPr>
        <w:jc w:val="center"/>
        <w:outlineLvl w:val="0"/>
        <w:rPr>
          <w:rFonts w:ascii="Tahoma" w:hAnsi="Tahoma" w:cs="Tahoma"/>
          <w:sz w:val="20"/>
        </w:rPr>
      </w:pPr>
      <w:r w:rsidRPr="004963F0">
        <w:rPr>
          <w:rFonts w:ascii="Tahoma" w:hAnsi="Tahoma" w:cs="Tahoma"/>
          <w:sz w:val="20"/>
        </w:rPr>
        <w:t xml:space="preserve">Stand: </w:t>
      </w:r>
      <w:r w:rsidR="00D7231E">
        <w:rPr>
          <w:rFonts w:ascii="Tahoma" w:hAnsi="Tahoma" w:cs="Tahoma"/>
          <w:sz w:val="20"/>
        </w:rPr>
        <w:t>25</w:t>
      </w:r>
      <w:r>
        <w:rPr>
          <w:rFonts w:ascii="Tahoma" w:hAnsi="Tahoma" w:cs="Tahoma"/>
          <w:sz w:val="20"/>
        </w:rPr>
        <w:t>.</w:t>
      </w:r>
      <w:r w:rsidR="005F5A8F">
        <w:rPr>
          <w:rFonts w:ascii="Tahoma" w:hAnsi="Tahoma" w:cs="Tahoma"/>
          <w:sz w:val="20"/>
        </w:rPr>
        <w:t>1</w:t>
      </w:r>
      <w:r w:rsidR="00512741">
        <w:rPr>
          <w:rFonts w:ascii="Tahoma" w:hAnsi="Tahoma" w:cs="Tahoma"/>
          <w:sz w:val="20"/>
        </w:rPr>
        <w:t>0</w:t>
      </w:r>
      <w:r w:rsidRPr="004963F0">
        <w:rPr>
          <w:rFonts w:ascii="Tahoma" w:hAnsi="Tahoma" w:cs="Tahoma"/>
          <w:sz w:val="20"/>
        </w:rPr>
        <w:t>.20</w:t>
      </w:r>
      <w:r>
        <w:rPr>
          <w:rFonts w:ascii="Tahoma" w:hAnsi="Tahoma" w:cs="Tahoma"/>
          <w:sz w:val="20"/>
        </w:rPr>
        <w:t>1</w:t>
      </w:r>
      <w:r w:rsidR="007268C5">
        <w:rPr>
          <w:rFonts w:ascii="Tahoma" w:hAnsi="Tahoma" w:cs="Tahoma"/>
          <w:sz w:val="20"/>
        </w:rPr>
        <w:t>9</w:t>
      </w:r>
      <w:bookmarkStart w:id="0" w:name="_GoBack"/>
      <w:bookmarkEnd w:id="0"/>
    </w:p>
    <w:p w:rsidR="00FA34BB" w:rsidRPr="00C22AAB" w:rsidRDefault="00FA34BB" w:rsidP="00FA34BB">
      <w:pPr>
        <w:rPr>
          <w:rFonts w:ascii="Tahoma" w:hAnsi="Tahoma" w:cs="Tahoma"/>
          <w:b/>
          <w:sz w:val="16"/>
          <w:szCs w:val="16"/>
        </w:rPr>
      </w:pPr>
    </w:p>
    <w:tbl>
      <w:tblPr>
        <w:tblW w:w="436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69"/>
        <w:gridCol w:w="1560"/>
        <w:gridCol w:w="850"/>
        <w:gridCol w:w="5718"/>
      </w:tblGrid>
      <w:tr w:rsidR="00EF3A42" w:rsidRPr="002E3C54" w:rsidTr="00EF3A42">
        <w:trPr>
          <w:cantSplit/>
          <w:tblHeader/>
          <w:jc w:val="center"/>
        </w:trPr>
        <w:tc>
          <w:tcPr>
            <w:tcW w:w="852" w:type="pct"/>
            <w:tcBorders>
              <w:top w:val="single" w:sz="12" w:space="0" w:color="auto"/>
              <w:left w:val="single" w:sz="12" w:space="0" w:color="auto"/>
              <w:bottom w:val="single" w:sz="12" w:space="0" w:color="auto"/>
              <w:right w:val="single" w:sz="4" w:space="0" w:color="auto"/>
            </w:tcBorders>
          </w:tcPr>
          <w:p w:rsidR="00EF3A42" w:rsidRPr="002E3C54" w:rsidRDefault="00EF3A42" w:rsidP="002E3C54">
            <w:pPr>
              <w:spacing w:before="40" w:after="0"/>
              <w:rPr>
                <w:rFonts w:cs="Arial"/>
                <w:b/>
                <w:sz w:val="22"/>
                <w:szCs w:val="22"/>
              </w:rPr>
            </w:pPr>
            <w:r w:rsidRPr="002E3C54">
              <w:rPr>
                <w:rFonts w:cs="Arial"/>
                <w:b/>
                <w:sz w:val="22"/>
                <w:szCs w:val="22"/>
              </w:rPr>
              <w:t>Thema</w:t>
            </w:r>
          </w:p>
        </w:tc>
        <w:tc>
          <w:tcPr>
            <w:tcW w:w="796" w:type="pct"/>
            <w:tcBorders>
              <w:top w:val="single" w:sz="12" w:space="0" w:color="auto"/>
              <w:left w:val="single" w:sz="4" w:space="0" w:color="auto"/>
              <w:bottom w:val="single" w:sz="12" w:space="0" w:color="auto"/>
              <w:right w:val="single" w:sz="4" w:space="0" w:color="auto"/>
            </w:tcBorders>
          </w:tcPr>
          <w:p w:rsidR="00EF3A42" w:rsidRPr="002E3C54" w:rsidRDefault="00EF3A42" w:rsidP="002E3C54">
            <w:pPr>
              <w:spacing w:before="40" w:after="0"/>
              <w:rPr>
                <w:rFonts w:cs="Arial"/>
                <w:b/>
                <w:sz w:val="22"/>
                <w:szCs w:val="22"/>
              </w:rPr>
            </w:pPr>
            <w:r w:rsidRPr="002E3C54">
              <w:rPr>
                <w:rFonts w:cs="Arial"/>
                <w:b/>
                <w:sz w:val="22"/>
                <w:szCs w:val="22"/>
              </w:rPr>
              <w:t>Fach</w:t>
            </w:r>
          </w:p>
        </w:tc>
        <w:tc>
          <w:tcPr>
            <w:tcW w:w="434" w:type="pct"/>
            <w:tcBorders>
              <w:top w:val="single" w:sz="12" w:space="0" w:color="auto"/>
              <w:left w:val="single" w:sz="4" w:space="0" w:color="auto"/>
              <w:bottom w:val="single" w:sz="12" w:space="0" w:color="auto"/>
              <w:right w:val="single" w:sz="4" w:space="0" w:color="auto"/>
            </w:tcBorders>
          </w:tcPr>
          <w:p w:rsidR="00EF3A42" w:rsidRPr="002E3C54" w:rsidRDefault="00EF3A42" w:rsidP="002E3C54">
            <w:pPr>
              <w:spacing w:before="40" w:after="0"/>
              <w:rPr>
                <w:rFonts w:cs="Arial"/>
                <w:b/>
                <w:sz w:val="22"/>
                <w:szCs w:val="22"/>
              </w:rPr>
            </w:pPr>
            <w:r w:rsidRPr="002E3C54">
              <w:rPr>
                <w:rFonts w:cs="Arial"/>
                <w:b/>
                <w:spacing w:val="-8"/>
                <w:sz w:val="22"/>
                <w:szCs w:val="22"/>
              </w:rPr>
              <w:t>Kurs-</w:t>
            </w:r>
            <w:r w:rsidRPr="002E3C54">
              <w:rPr>
                <w:rFonts w:cs="Arial"/>
                <w:b/>
                <w:spacing w:val="-8"/>
                <w:sz w:val="22"/>
                <w:szCs w:val="22"/>
              </w:rPr>
              <w:br/>
            </w:r>
            <w:r w:rsidRPr="002E3C54">
              <w:rPr>
                <w:rFonts w:cs="Arial"/>
                <w:b/>
                <w:sz w:val="22"/>
                <w:szCs w:val="22"/>
              </w:rPr>
              <w:t>bez.</w:t>
            </w:r>
          </w:p>
        </w:tc>
        <w:tc>
          <w:tcPr>
            <w:tcW w:w="2919" w:type="pct"/>
            <w:tcBorders>
              <w:top w:val="single" w:sz="12" w:space="0" w:color="auto"/>
              <w:left w:val="single" w:sz="4" w:space="0" w:color="auto"/>
              <w:bottom w:val="single" w:sz="12" w:space="0" w:color="auto"/>
              <w:right w:val="single" w:sz="12" w:space="0" w:color="auto"/>
            </w:tcBorders>
          </w:tcPr>
          <w:p w:rsidR="00EF3A42" w:rsidRPr="002E3C54" w:rsidRDefault="00EF3A42" w:rsidP="002E3C54">
            <w:pPr>
              <w:spacing w:before="40" w:after="0"/>
              <w:rPr>
                <w:rFonts w:cs="Arial"/>
                <w:b/>
                <w:sz w:val="22"/>
                <w:szCs w:val="22"/>
              </w:rPr>
            </w:pPr>
            <w:r w:rsidRPr="002E3C54">
              <w:rPr>
                <w:rFonts w:cs="Arial"/>
                <w:b/>
                <w:sz w:val="22"/>
                <w:szCs w:val="22"/>
              </w:rPr>
              <w:t>Anmerkungen / Voraussetzungen</w:t>
            </w:r>
          </w:p>
        </w:tc>
      </w:tr>
      <w:tr w:rsidR="00EF3A42" w:rsidRPr="002E3C54" w:rsidTr="00EF3A42">
        <w:trPr>
          <w:cantSplit/>
          <w:jc w:val="center"/>
        </w:trPr>
        <w:tc>
          <w:tcPr>
            <w:tcW w:w="852" w:type="pct"/>
            <w:tcBorders>
              <w:top w:val="single" w:sz="12" w:space="0" w:color="auto"/>
              <w:left w:val="single" w:sz="12"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Theater und Film*</w:t>
            </w:r>
          </w:p>
        </w:tc>
        <w:tc>
          <w:tcPr>
            <w:tcW w:w="796" w:type="pct"/>
            <w:tcBorders>
              <w:top w:val="single" w:sz="12"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 xml:space="preserve">Deutsch </w:t>
            </w:r>
          </w:p>
        </w:tc>
        <w:tc>
          <w:tcPr>
            <w:tcW w:w="434" w:type="pct"/>
            <w:tcBorders>
              <w:top w:val="single" w:sz="12"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DRG</w:t>
            </w:r>
          </w:p>
        </w:tc>
        <w:tc>
          <w:tcPr>
            <w:tcW w:w="2919" w:type="pct"/>
            <w:tcBorders>
              <w:top w:val="single" w:sz="12" w:space="0" w:color="auto"/>
              <w:left w:val="single" w:sz="4" w:space="0" w:color="auto"/>
              <w:bottom w:val="single" w:sz="4" w:space="0" w:color="auto"/>
              <w:right w:val="single" w:sz="12" w:space="0" w:color="auto"/>
            </w:tcBorders>
          </w:tcPr>
          <w:p w:rsidR="00EF3A42" w:rsidRPr="002E3C54" w:rsidRDefault="00EF3A42" w:rsidP="002E3C54">
            <w:pPr>
              <w:spacing w:before="40" w:after="0"/>
              <w:rPr>
                <w:rFonts w:cs="Arial"/>
                <w:sz w:val="22"/>
                <w:szCs w:val="22"/>
              </w:rPr>
            </w:pPr>
            <w:r w:rsidRPr="002E3C54">
              <w:rPr>
                <w:rFonts w:cs="Arial"/>
                <w:sz w:val="22"/>
                <w:szCs w:val="22"/>
              </w:rPr>
              <w:t>1. Voraussetzungen: Einsatzbereitschaft über die zwei</w:t>
            </w:r>
            <w:r w:rsidRPr="002E3C54">
              <w:rPr>
                <w:rFonts w:cs="Arial"/>
                <w:sz w:val="22"/>
                <w:szCs w:val="22"/>
              </w:rPr>
              <w:softHyphen/>
              <w:t>stündige Kurs</w:t>
            </w:r>
            <w:r w:rsidRPr="002E3C54">
              <w:rPr>
                <w:rFonts w:cs="Arial"/>
                <w:sz w:val="22"/>
                <w:szCs w:val="22"/>
              </w:rPr>
              <w:softHyphen/>
              <w:t>teilnahme hinaus (Wochenend</w:t>
            </w:r>
            <w:r w:rsidRPr="002E3C54">
              <w:rPr>
                <w:rFonts w:cs="Arial"/>
                <w:sz w:val="22"/>
                <w:szCs w:val="22"/>
              </w:rPr>
              <w:softHyphen/>
              <w:t>proben!); Bereitschaft, im Spielen aus sich heraus</w:t>
            </w:r>
            <w:r w:rsidRPr="002E3C54">
              <w:rPr>
                <w:rFonts w:cs="Arial"/>
                <w:sz w:val="22"/>
                <w:szCs w:val="22"/>
              </w:rPr>
              <w:softHyphen/>
              <w:t>zugehen, auf andere zuzu</w:t>
            </w:r>
            <w:r w:rsidRPr="002E3C54">
              <w:rPr>
                <w:rFonts w:cs="Arial"/>
                <w:sz w:val="22"/>
                <w:szCs w:val="22"/>
              </w:rPr>
              <w:softHyphen/>
              <w:t xml:space="preserve">gehen und sich zu präsentieren </w:t>
            </w:r>
          </w:p>
          <w:p w:rsidR="00EF3A42" w:rsidRPr="002E3C54" w:rsidRDefault="00EF3A42" w:rsidP="002E3C54">
            <w:pPr>
              <w:spacing w:before="40" w:after="0"/>
              <w:rPr>
                <w:rFonts w:cs="Arial"/>
                <w:sz w:val="22"/>
                <w:szCs w:val="22"/>
              </w:rPr>
            </w:pPr>
            <w:r w:rsidRPr="002E3C54">
              <w:rPr>
                <w:rFonts w:cs="Arial"/>
                <w:sz w:val="22"/>
                <w:szCs w:val="22"/>
              </w:rPr>
              <w:t>2. Kursinhalte: Als Gruppe zusammenfinden; Erweitern des eigenen Ausdrucksrepertoires; Stimme und Sprechen schulen; Improvisations- und Darstellungs</w:t>
            </w:r>
            <w:r w:rsidRPr="002E3C54">
              <w:rPr>
                <w:rFonts w:cs="Arial"/>
                <w:sz w:val="22"/>
                <w:szCs w:val="22"/>
              </w:rPr>
              <w:softHyphen/>
              <w:t>übungen; die Bühne/den Raum nutzen; Texte drama</w:t>
            </w:r>
            <w:r w:rsidRPr="002E3C54">
              <w:rPr>
                <w:rFonts w:cs="Arial"/>
                <w:sz w:val="22"/>
                <w:szCs w:val="22"/>
              </w:rPr>
              <w:softHyphen/>
              <w:t>turgisch bearbeiten; eine Aufführung (oder einen Film) planen und durch</w:t>
            </w:r>
            <w:r w:rsidRPr="002E3C54">
              <w:rPr>
                <w:rFonts w:cs="Arial"/>
                <w:sz w:val="22"/>
                <w:szCs w:val="22"/>
              </w:rPr>
              <w:softHyphen/>
              <w:t>führen</w:t>
            </w:r>
          </w:p>
        </w:tc>
      </w:tr>
      <w:tr w:rsidR="00EF3A42" w:rsidRPr="002E3C54" w:rsidTr="00EF3A42">
        <w:trPr>
          <w:cantSplit/>
          <w:jc w:val="center"/>
        </w:trPr>
        <w:tc>
          <w:tcPr>
            <w:tcW w:w="852" w:type="pct"/>
            <w:tcBorders>
              <w:top w:val="single" w:sz="4" w:space="0" w:color="auto"/>
              <w:left w:val="single" w:sz="12" w:space="0" w:color="auto"/>
              <w:bottom w:val="single" w:sz="4" w:space="0" w:color="auto"/>
              <w:right w:val="single" w:sz="4" w:space="0" w:color="auto"/>
            </w:tcBorders>
          </w:tcPr>
          <w:p w:rsidR="00EF3A42" w:rsidRPr="002E3C54" w:rsidRDefault="00EF3A42" w:rsidP="002E3C54">
            <w:pPr>
              <w:spacing w:before="40" w:after="0"/>
              <w:rPr>
                <w:rFonts w:cs="Arial"/>
                <w:sz w:val="22"/>
                <w:szCs w:val="22"/>
                <w:lang w:val="en-GB"/>
              </w:rPr>
            </w:pPr>
            <w:r w:rsidRPr="002E3C54">
              <w:rPr>
                <w:rFonts w:cs="Arial"/>
                <w:sz w:val="22"/>
                <w:szCs w:val="22"/>
                <w:lang w:val="en-GB"/>
              </w:rPr>
              <w:t>English Conversation</w:t>
            </w:r>
          </w:p>
        </w:tc>
        <w:tc>
          <w:tcPr>
            <w:tcW w:w="796"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Englisch</w:t>
            </w:r>
          </w:p>
        </w:tc>
        <w:tc>
          <w:tcPr>
            <w:tcW w:w="434"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EKO</w:t>
            </w:r>
          </w:p>
        </w:tc>
        <w:tc>
          <w:tcPr>
            <w:tcW w:w="2919" w:type="pct"/>
            <w:tcBorders>
              <w:top w:val="single" w:sz="4" w:space="0" w:color="auto"/>
              <w:left w:val="single" w:sz="4" w:space="0" w:color="auto"/>
              <w:bottom w:val="single" w:sz="4" w:space="0" w:color="auto"/>
              <w:right w:val="single" w:sz="12" w:space="0" w:color="auto"/>
            </w:tcBorders>
          </w:tcPr>
          <w:p w:rsidR="00EF3A42" w:rsidRPr="002E3C54" w:rsidRDefault="00EF3A42" w:rsidP="002E3C54">
            <w:pPr>
              <w:spacing w:before="40" w:after="0"/>
              <w:rPr>
                <w:rFonts w:cs="Arial"/>
                <w:sz w:val="22"/>
                <w:szCs w:val="22"/>
              </w:rPr>
            </w:pPr>
            <w:r w:rsidRPr="002E3C54">
              <w:rPr>
                <w:rFonts w:cs="Arial"/>
                <w:sz w:val="22"/>
                <w:szCs w:val="22"/>
              </w:rPr>
              <w:t>In diesem Kurs soll die allgemeine Konver</w:t>
            </w:r>
            <w:r w:rsidRPr="002E3C54">
              <w:rPr>
                <w:rFonts w:cs="Arial"/>
                <w:sz w:val="22"/>
                <w:szCs w:val="22"/>
              </w:rPr>
              <w:softHyphen/>
              <w:t>sations</w:t>
            </w:r>
            <w:r w:rsidRPr="002E3C54">
              <w:rPr>
                <w:rFonts w:cs="Arial"/>
                <w:sz w:val="22"/>
                <w:szCs w:val="22"/>
              </w:rPr>
              <w:softHyphen/>
              <w:t>fertigkeit der Schüler in Englisch geför</w:t>
            </w:r>
            <w:r w:rsidRPr="002E3C54">
              <w:rPr>
                <w:rFonts w:cs="Arial"/>
                <w:sz w:val="22"/>
                <w:szCs w:val="22"/>
              </w:rPr>
              <w:softHyphen/>
              <w:t>dert und verbessert werden. Dies geschieht in unter</w:t>
            </w:r>
            <w:r w:rsidRPr="002E3C54">
              <w:rPr>
                <w:rFonts w:cs="Arial"/>
                <w:sz w:val="22"/>
                <w:szCs w:val="22"/>
              </w:rPr>
              <w:softHyphen/>
              <w:t>schied</w:t>
            </w:r>
            <w:r w:rsidRPr="002E3C54">
              <w:rPr>
                <w:rFonts w:cs="Arial"/>
                <w:sz w:val="22"/>
                <w:szCs w:val="22"/>
              </w:rPr>
              <w:softHyphen/>
              <w:t>lichster Form, z. B. Übungen zur münd</w:t>
            </w:r>
            <w:r w:rsidRPr="002E3C54">
              <w:rPr>
                <w:rFonts w:cs="Arial"/>
                <w:sz w:val="22"/>
                <w:szCs w:val="22"/>
              </w:rPr>
              <w:softHyphen/>
              <w:t>lichen Ausdrucks</w:t>
            </w:r>
            <w:r w:rsidRPr="002E3C54">
              <w:rPr>
                <w:rFonts w:cs="Arial"/>
                <w:sz w:val="22"/>
                <w:szCs w:val="22"/>
              </w:rPr>
              <w:softHyphen/>
              <w:t>fähigkeit, Konversations</w:t>
            </w:r>
            <w:r w:rsidRPr="002E3C54">
              <w:rPr>
                <w:rFonts w:cs="Arial"/>
                <w:sz w:val="22"/>
                <w:szCs w:val="22"/>
              </w:rPr>
              <w:softHyphen/>
              <w:t>analyse (anhand von Hörtexten, Filmen, etc.), in Partner</w:t>
            </w:r>
            <w:r w:rsidRPr="002E3C54">
              <w:rPr>
                <w:rFonts w:cs="Arial"/>
                <w:sz w:val="22"/>
                <w:szCs w:val="22"/>
              </w:rPr>
              <w:softHyphen/>
              <w:t>gesprächen, Diskussionen, Spielen, Rollenspielen, dem Austausch über aktuelle Themen und Texte, Gruppen</w:t>
            </w:r>
            <w:r w:rsidRPr="002E3C54">
              <w:rPr>
                <w:rFonts w:cs="Arial"/>
                <w:sz w:val="22"/>
                <w:szCs w:val="22"/>
              </w:rPr>
              <w:softHyphen/>
              <w:t>arbeit und Präsentationen.</w:t>
            </w:r>
          </w:p>
          <w:p w:rsidR="00EF3A42" w:rsidRPr="002E3C54" w:rsidRDefault="00EF3A42" w:rsidP="002E3C54">
            <w:pPr>
              <w:spacing w:before="40" w:after="0"/>
              <w:rPr>
                <w:rFonts w:cs="Arial"/>
                <w:sz w:val="22"/>
                <w:szCs w:val="22"/>
              </w:rPr>
            </w:pPr>
            <w:r w:rsidRPr="002E3C54">
              <w:rPr>
                <w:rFonts w:cs="Arial"/>
                <w:sz w:val="22"/>
                <w:szCs w:val="22"/>
              </w:rPr>
              <w:t>Der Kurs kann entweder in Q11 oder in Q12 belegt werden.</w:t>
            </w:r>
          </w:p>
        </w:tc>
      </w:tr>
      <w:tr w:rsidR="00EF3A42" w:rsidRPr="002E3C54" w:rsidTr="00EF3A42">
        <w:trPr>
          <w:cantSplit/>
          <w:jc w:val="center"/>
        </w:trPr>
        <w:tc>
          <w:tcPr>
            <w:tcW w:w="852" w:type="pct"/>
            <w:tcBorders>
              <w:top w:val="single" w:sz="4" w:space="0" w:color="auto"/>
              <w:left w:val="single" w:sz="12"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Spanisch: Konversation und Landeskunde</w:t>
            </w:r>
          </w:p>
        </w:tc>
        <w:tc>
          <w:tcPr>
            <w:tcW w:w="796"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Spanisch</w:t>
            </w:r>
          </w:p>
        </w:tc>
        <w:tc>
          <w:tcPr>
            <w:tcW w:w="434"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SKO</w:t>
            </w:r>
          </w:p>
        </w:tc>
        <w:tc>
          <w:tcPr>
            <w:tcW w:w="2919" w:type="pct"/>
            <w:tcBorders>
              <w:top w:val="single" w:sz="4" w:space="0" w:color="auto"/>
              <w:left w:val="single" w:sz="4" w:space="0" w:color="auto"/>
              <w:bottom w:val="single" w:sz="4" w:space="0" w:color="auto"/>
              <w:right w:val="single" w:sz="12" w:space="0" w:color="auto"/>
            </w:tcBorders>
          </w:tcPr>
          <w:p w:rsidR="00EF3A42" w:rsidRPr="002E3C54" w:rsidRDefault="00EF3A42" w:rsidP="002E3C54">
            <w:pPr>
              <w:spacing w:before="40" w:after="0"/>
              <w:rPr>
                <w:rFonts w:cs="Arial"/>
                <w:sz w:val="22"/>
                <w:szCs w:val="22"/>
              </w:rPr>
            </w:pPr>
            <w:r w:rsidRPr="002E3C54">
              <w:rPr>
                <w:rFonts w:cs="Arial"/>
                <w:sz w:val="22"/>
                <w:szCs w:val="22"/>
              </w:rPr>
              <w:t>In diesem Kurs soll die allgemeine Konver</w:t>
            </w:r>
            <w:r w:rsidRPr="002E3C54">
              <w:rPr>
                <w:rFonts w:cs="Arial"/>
                <w:sz w:val="22"/>
                <w:szCs w:val="22"/>
              </w:rPr>
              <w:softHyphen/>
              <w:t>sa</w:t>
            </w:r>
            <w:r w:rsidRPr="002E3C54">
              <w:rPr>
                <w:rFonts w:cs="Arial"/>
                <w:sz w:val="22"/>
                <w:szCs w:val="22"/>
              </w:rPr>
              <w:softHyphen/>
              <w:t>tions</w:t>
            </w:r>
            <w:r w:rsidRPr="002E3C54">
              <w:rPr>
                <w:rFonts w:cs="Arial"/>
                <w:sz w:val="22"/>
                <w:szCs w:val="22"/>
              </w:rPr>
              <w:softHyphen/>
              <w:t>fertigkeit in Spanisch geför</w:t>
            </w:r>
            <w:r w:rsidRPr="002E3C54">
              <w:rPr>
                <w:rFonts w:cs="Arial"/>
                <w:sz w:val="22"/>
                <w:szCs w:val="22"/>
              </w:rPr>
              <w:softHyphen/>
              <w:t>dert und verbessert werden. Dies geschieht anhand von verschiedenen landes</w:t>
            </w:r>
            <w:r w:rsidRPr="002E3C54">
              <w:rPr>
                <w:rFonts w:cs="Arial"/>
                <w:sz w:val="22"/>
                <w:szCs w:val="22"/>
              </w:rPr>
              <w:softHyphen/>
              <w:t>kundlichen Themen und in unter</w:t>
            </w:r>
            <w:r w:rsidRPr="002E3C54">
              <w:rPr>
                <w:rFonts w:cs="Arial"/>
                <w:sz w:val="22"/>
                <w:szCs w:val="22"/>
              </w:rPr>
              <w:softHyphen/>
              <w:t>schied</w:t>
            </w:r>
            <w:r w:rsidRPr="002E3C54">
              <w:rPr>
                <w:rFonts w:cs="Arial"/>
                <w:sz w:val="22"/>
                <w:szCs w:val="22"/>
              </w:rPr>
              <w:softHyphen/>
              <w:t>lichster Form (z. B. Übungen zur münd</w:t>
            </w:r>
            <w:r w:rsidRPr="002E3C54">
              <w:rPr>
                <w:rFonts w:cs="Arial"/>
                <w:sz w:val="22"/>
                <w:szCs w:val="22"/>
              </w:rPr>
              <w:softHyphen/>
              <w:t>lichen Ausdrucks</w:t>
            </w:r>
            <w:r w:rsidRPr="002E3C54">
              <w:rPr>
                <w:rFonts w:cs="Arial"/>
                <w:sz w:val="22"/>
                <w:szCs w:val="22"/>
              </w:rPr>
              <w:softHyphen/>
              <w:t>fähigkeit, Konversa</w:t>
            </w:r>
            <w:r w:rsidRPr="002E3C54">
              <w:rPr>
                <w:rFonts w:cs="Arial"/>
                <w:sz w:val="22"/>
                <w:szCs w:val="22"/>
              </w:rPr>
              <w:softHyphen/>
              <w:t>tionsanalyse anhand von Hörtexten, Filmen, etc., in Partner</w:t>
            </w:r>
            <w:r w:rsidRPr="002E3C54">
              <w:rPr>
                <w:rFonts w:cs="Arial"/>
                <w:sz w:val="22"/>
                <w:szCs w:val="22"/>
              </w:rPr>
              <w:softHyphen/>
              <w:t>gesprächen, Diskussionen, Spielen, Rollen</w:t>
            </w:r>
            <w:r>
              <w:rPr>
                <w:rFonts w:cs="Arial"/>
                <w:sz w:val="22"/>
                <w:szCs w:val="22"/>
              </w:rPr>
              <w:softHyphen/>
            </w:r>
            <w:r w:rsidRPr="002E3C54">
              <w:rPr>
                <w:rFonts w:cs="Arial"/>
                <w:sz w:val="22"/>
                <w:szCs w:val="22"/>
              </w:rPr>
              <w:t>spielen, dem Austausch über aktuelle, landes</w:t>
            </w:r>
            <w:r w:rsidRPr="002E3C54">
              <w:rPr>
                <w:rFonts w:cs="Arial"/>
                <w:sz w:val="22"/>
                <w:szCs w:val="22"/>
              </w:rPr>
              <w:softHyphen/>
              <w:t>kundliche Themen und Texte, Gruppen</w:t>
            </w:r>
            <w:r w:rsidRPr="002E3C54">
              <w:rPr>
                <w:rFonts w:cs="Arial"/>
                <w:sz w:val="22"/>
                <w:szCs w:val="22"/>
              </w:rPr>
              <w:softHyphen/>
              <w:t>arbeit und Präsentationen).</w:t>
            </w:r>
          </w:p>
          <w:p w:rsidR="00EF3A42" w:rsidRPr="002E3C54" w:rsidRDefault="00EF3A42" w:rsidP="002E3C54">
            <w:pPr>
              <w:spacing w:before="40" w:after="0"/>
              <w:rPr>
                <w:rFonts w:cs="Arial"/>
                <w:sz w:val="22"/>
                <w:szCs w:val="22"/>
              </w:rPr>
            </w:pPr>
            <w:r w:rsidRPr="002E3C54">
              <w:rPr>
                <w:rFonts w:cs="Arial"/>
                <w:sz w:val="22"/>
                <w:szCs w:val="22"/>
              </w:rPr>
              <w:t>Der Kurs kann von Schülern mit Spanisch als dritter Fremdsprache und mit spätbeginnendem Spanisch gewählt werden. SKO wird nur in Q12 angeboten.</w:t>
            </w:r>
          </w:p>
        </w:tc>
      </w:tr>
      <w:tr w:rsidR="00EF3A42" w:rsidRPr="002E3C54" w:rsidTr="00EF3A42">
        <w:trPr>
          <w:cantSplit/>
          <w:jc w:val="center"/>
        </w:trPr>
        <w:tc>
          <w:tcPr>
            <w:tcW w:w="852" w:type="pct"/>
            <w:tcBorders>
              <w:top w:val="single" w:sz="4" w:space="0" w:color="auto"/>
              <w:left w:val="single" w:sz="12"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br w:type="page"/>
              <w:t>Chor*</w:t>
            </w:r>
          </w:p>
        </w:tc>
        <w:tc>
          <w:tcPr>
            <w:tcW w:w="796"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Musik</w:t>
            </w:r>
          </w:p>
        </w:tc>
        <w:tc>
          <w:tcPr>
            <w:tcW w:w="434"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VOK</w:t>
            </w:r>
          </w:p>
        </w:tc>
        <w:tc>
          <w:tcPr>
            <w:tcW w:w="2919" w:type="pct"/>
            <w:tcBorders>
              <w:top w:val="single" w:sz="4" w:space="0" w:color="auto"/>
              <w:left w:val="single" w:sz="4" w:space="0" w:color="auto"/>
              <w:bottom w:val="single" w:sz="4" w:space="0" w:color="auto"/>
              <w:right w:val="single" w:sz="12" w:space="0" w:color="auto"/>
            </w:tcBorders>
          </w:tcPr>
          <w:p w:rsidR="00EF3A42" w:rsidRPr="002E3C54" w:rsidRDefault="00EF3A42" w:rsidP="002E3C54">
            <w:pPr>
              <w:spacing w:before="40" w:after="0"/>
              <w:rPr>
                <w:rFonts w:cs="Arial"/>
                <w:sz w:val="22"/>
                <w:szCs w:val="22"/>
              </w:rPr>
            </w:pPr>
            <w:r>
              <w:rPr>
                <w:rFonts w:cs="Arial"/>
                <w:sz w:val="22"/>
                <w:szCs w:val="22"/>
              </w:rPr>
              <w:t xml:space="preserve">verpflichtendes </w:t>
            </w:r>
            <w:r w:rsidRPr="002E3C54">
              <w:rPr>
                <w:rFonts w:cs="Arial"/>
                <w:sz w:val="22"/>
                <w:szCs w:val="22"/>
              </w:rPr>
              <w:t>Vorsingen im März/April</w:t>
            </w:r>
          </w:p>
          <w:p w:rsidR="00EF3A42" w:rsidRPr="002E3C54" w:rsidRDefault="00EF3A42" w:rsidP="002E3C54">
            <w:pPr>
              <w:spacing w:before="40" w:after="0"/>
              <w:rPr>
                <w:rFonts w:cs="Arial"/>
                <w:sz w:val="22"/>
                <w:szCs w:val="22"/>
              </w:rPr>
            </w:pPr>
          </w:p>
        </w:tc>
      </w:tr>
      <w:tr w:rsidR="00EF3A42" w:rsidRPr="002E3C54" w:rsidTr="00EF3A42">
        <w:trPr>
          <w:cantSplit/>
          <w:jc w:val="center"/>
        </w:trPr>
        <w:tc>
          <w:tcPr>
            <w:tcW w:w="852" w:type="pct"/>
            <w:tcBorders>
              <w:top w:val="single" w:sz="4" w:space="0" w:color="auto"/>
              <w:left w:val="single" w:sz="12"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Bigband*</w:t>
            </w:r>
          </w:p>
        </w:tc>
        <w:tc>
          <w:tcPr>
            <w:tcW w:w="796"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Musik</w:t>
            </w:r>
          </w:p>
        </w:tc>
        <w:tc>
          <w:tcPr>
            <w:tcW w:w="434"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INEB</w:t>
            </w:r>
          </w:p>
        </w:tc>
        <w:tc>
          <w:tcPr>
            <w:tcW w:w="2919" w:type="pct"/>
            <w:tcBorders>
              <w:top w:val="single" w:sz="4" w:space="0" w:color="auto"/>
              <w:left w:val="single" w:sz="4" w:space="0" w:color="auto"/>
              <w:bottom w:val="single" w:sz="4" w:space="0" w:color="auto"/>
              <w:right w:val="single" w:sz="12" w:space="0" w:color="auto"/>
            </w:tcBorders>
          </w:tcPr>
          <w:p w:rsidR="00EF3A42" w:rsidRPr="002E3C54" w:rsidRDefault="00EF3A42" w:rsidP="002E3C54">
            <w:pPr>
              <w:spacing w:before="40" w:after="0"/>
              <w:rPr>
                <w:rFonts w:cs="Arial"/>
                <w:sz w:val="22"/>
                <w:szCs w:val="22"/>
              </w:rPr>
            </w:pPr>
            <w:r w:rsidRPr="002E3C54">
              <w:rPr>
                <w:rFonts w:cs="Arial"/>
                <w:sz w:val="22"/>
                <w:szCs w:val="22"/>
              </w:rPr>
              <w:t xml:space="preserve">Teilnahme möglich unter folgenden Voraussetzungen: </w:t>
            </w:r>
            <w:r w:rsidRPr="002E3C54">
              <w:rPr>
                <w:rFonts w:cs="Arial"/>
                <w:sz w:val="22"/>
                <w:szCs w:val="22"/>
              </w:rPr>
              <w:br/>
              <w:t>1 Jahr Erfahrung in der Bigband, nur für Bigband-taugliche Instrumente, nur bei Bedarf;</w:t>
            </w:r>
            <w:r w:rsidRPr="002E3C54">
              <w:rPr>
                <w:rFonts w:cs="Arial"/>
                <w:sz w:val="22"/>
                <w:szCs w:val="22"/>
              </w:rPr>
              <w:br/>
            </w:r>
            <w:r>
              <w:rPr>
                <w:rFonts w:cs="Arial"/>
                <w:sz w:val="22"/>
                <w:szCs w:val="22"/>
              </w:rPr>
              <w:t xml:space="preserve">verpflichtendes </w:t>
            </w:r>
            <w:r w:rsidRPr="002E3C54">
              <w:rPr>
                <w:rFonts w:cs="Arial"/>
                <w:sz w:val="22"/>
                <w:szCs w:val="22"/>
              </w:rPr>
              <w:t>Vorspiel und Vorbesprechung im März/April</w:t>
            </w:r>
          </w:p>
        </w:tc>
      </w:tr>
      <w:tr w:rsidR="00EF3A42" w:rsidRPr="002E3C54" w:rsidTr="00EF3A42">
        <w:trPr>
          <w:cantSplit/>
          <w:jc w:val="center"/>
        </w:trPr>
        <w:tc>
          <w:tcPr>
            <w:tcW w:w="852" w:type="pct"/>
            <w:tcBorders>
              <w:top w:val="single" w:sz="4" w:space="0" w:color="auto"/>
              <w:left w:val="single" w:sz="12"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Orchester*</w:t>
            </w:r>
          </w:p>
        </w:tc>
        <w:tc>
          <w:tcPr>
            <w:tcW w:w="796"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Musik</w:t>
            </w:r>
          </w:p>
        </w:tc>
        <w:tc>
          <w:tcPr>
            <w:tcW w:w="434"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INEO</w:t>
            </w:r>
          </w:p>
        </w:tc>
        <w:tc>
          <w:tcPr>
            <w:tcW w:w="2919" w:type="pct"/>
            <w:tcBorders>
              <w:top w:val="single" w:sz="4" w:space="0" w:color="auto"/>
              <w:left w:val="single" w:sz="4" w:space="0" w:color="auto"/>
              <w:bottom w:val="single" w:sz="4" w:space="0" w:color="auto"/>
              <w:right w:val="single" w:sz="12" w:space="0" w:color="auto"/>
            </w:tcBorders>
          </w:tcPr>
          <w:p w:rsidR="00EF3A42" w:rsidRPr="002E3C54" w:rsidRDefault="00EF3A42" w:rsidP="002E3C54">
            <w:pPr>
              <w:spacing w:before="40" w:after="0"/>
              <w:rPr>
                <w:rFonts w:cs="Arial"/>
                <w:sz w:val="22"/>
                <w:szCs w:val="22"/>
              </w:rPr>
            </w:pPr>
            <w:r>
              <w:rPr>
                <w:rFonts w:cs="Arial"/>
                <w:sz w:val="22"/>
                <w:szCs w:val="22"/>
              </w:rPr>
              <w:t xml:space="preserve">verpflichtendes </w:t>
            </w:r>
            <w:r w:rsidRPr="002E3C54">
              <w:rPr>
                <w:rFonts w:cs="Arial"/>
                <w:sz w:val="22"/>
                <w:szCs w:val="22"/>
              </w:rPr>
              <w:t>Vorspiel im März/April</w:t>
            </w:r>
          </w:p>
          <w:p w:rsidR="00EF3A42" w:rsidRPr="002E3C54" w:rsidRDefault="00EF3A42" w:rsidP="002E3C54">
            <w:pPr>
              <w:spacing w:before="40" w:after="0"/>
              <w:rPr>
                <w:rFonts w:cs="Arial"/>
                <w:sz w:val="22"/>
                <w:szCs w:val="22"/>
              </w:rPr>
            </w:pPr>
          </w:p>
        </w:tc>
      </w:tr>
      <w:tr w:rsidR="00EF3A42" w:rsidRPr="002E3C54" w:rsidTr="00EF3A42">
        <w:trPr>
          <w:cantSplit/>
          <w:jc w:val="center"/>
        </w:trPr>
        <w:tc>
          <w:tcPr>
            <w:tcW w:w="852" w:type="pct"/>
            <w:tcBorders>
              <w:top w:val="single" w:sz="4" w:space="0" w:color="auto"/>
              <w:left w:val="single" w:sz="12" w:space="0" w:color="auto"/>
              <w:bottom w:val="single" w:sz="4" w:space="0" w:color="auto"/>
              <w:right w:val="single" w:sz="4" w:space="0" w:color="auto"/>
            </w:tcBorders>
          </w:tcPr>
          <w:p w:rsidR="00EF3A42" w:rsidRPr="002E3C54" w:rsidRDefault="00EF3A42" w:rsidP="002E3C54">
            <w:pPr>
              <w:spacing w:before="40" w:after="0"/>
              <w:rPr>
                <w:rFonts w:cs="Arial"/>
                <w:sz w:val="22"/>
                <w:szCs w:val="22"/>
                <w:lang w:val="en-GB"/>
              </w:rPr>
            </w:pPr>
            <w:proofErr w:type="spellStart"/>
            <w:r w:rsidRPr="002E3C54">
              <w:rPr>
                <w:rFonts w:cs="Arial"/>
                <w:sz w:val="22"/>
                <w:szCs w:val="22"/>
                <w:lang w:val="en-GB"/>
              </w:rPr>
              <w:lastRenderedPageBreak/>
              <w:t>Kunst</w:t>
            </w:r>
            <w:proofErr w:type="spellEnd"/>
            <w:r w:rsidRPr="002E3C54">
              <w:rPr>
                <w:rFonts w:cs="Arial"/>
                <w:sz w:val="22"/>
                <w:szCs w:val="22"/>
                <w:lang w:val="en-GB"/>
              </w:rPr>
              <w:t xml:space="preserve"> </w:t>
            </w:r>
            <w:proofErr w:type="spellStart"/>
            <w:r w:rsidRPr="002E3C54">
              <w:rPr>
                <w:rFonts w:cs="Arial"/>
                <w:sz w:val="22"/>
                <w:szCs w:val="22"/>
                <w:lang w:val="en-GB"/>
              </w:rPr>
              <w:t>Pluskurs</w:t>
            </w:r>
            <w:proofErr w:type="spellEnd"/>
          </w:p>
        </w:tc>
        <w:tc>
          <w:tcPr>
            <w:tcW w:w="796"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Kunst</w:t>
            </w:r>
          </w:p>
        </w:tc>
        <w:tc>
          <w:tcPr>
            <w:tcW w:w="434"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KU+</w:t>
            </w:r>
          </w:p>
        </w:tc>
        <w:tc>
          <w:tcPr>
            <w:tcW w:w="2919" w:type="pct"/>
            <w:tcBorders>
              <w:top w:val="single" w:sz="4" w:space="0" w:color="auto"/>
              <w:left w:val="single" w:sz="4" w:space="0" w:color="auto"/>
              <w:bottom w:val="single" w:sz="4" w:space="0" w:color="auto"/>
              <w:right w:val="single" w:sz="12" w:space="0" w:color="auto"/>
            </w:tcBorders>
          </w:tcPr>
          <w:p w:rsidR="00EF3A42" w:rsidRPr="00E6505E" w:rsidRDefault="00EF3A42" w:rsidP="002E3C54">
            <w:pPr>
              <w:spacing w:before="40" w:after="0"/>
              <w:rPr>
                <w:rFonts w:cs="Arial"/>
                <w:sz w:val="22"/>
                <w:szCs w:val="22"/>
              </w:rPr>
            </w:pPr>
            <w:r w:rsidRPr="00E6505E">
              <w:rPr>
                <w:rFonts w:cs="Arial"/>
                <w:sz w:val="22"/>
                <w:szCs w:val="22"/>
              </w:rPr>
              <w:t>Künstlerische Techniken:</w:t>
            </w:r>
          </w:p>
          <w:p w:rsidR="00EF3A42" w:rsidRDefault="00EF3A42" w:rsidP="002E3C54">
            <w:pPr>
              <w:spacing w:before="40" w:after="0"/>
              <w:rPr>
                <w:rFonts w:cs="Arial"/>
                <w:sz w:val="22"/>
                <w:szCs w:val="22"/>
              </w:rPr>
            </w:pPr>
            <w:r w:rsidRPr="00E6505E">
              <w:rPr>
                <w:rFonts w:cs="Arial"/>
                <w:sz w:val="22"/>
                <w:szCs w:val="22"/>
              </w:rPr>
              <w:t>Der Kurs richtet sich an Schüler mit erhöhtem künst</w:t>
            </w:r>
            <w:r w:rsidRPr="00E6505E">
              <w:rPr>
                <w:rFonts w:cs="Arial"/>
                <w:sz w:val="22"/>
                <w:szCs w:val="22"/>
              </w:rPr>
              <w:softHyphen/>
              <w:t>lerischen Interesse und ausgeprägten gestalterischen Fähigkeiten. Es werden unterschiedliche Techniken in praktischen Arbeiten erprobt. Neben Zeichnung, Malerei, Drucken, Plastischem Gestalten und Modellbau werden unterschiedliche Gestaltungsformen von realistischen bis zu abstrakten Darstellungsarten erarbeitet. Der Kurs ist eine gute Ergänzung für diejenigen, denen das künst</w:t>
            </w:r>
            <w:r w:rsidRPr="00E6505E">
              <w:rPr>
                <w:rFonts w:cs="Arial"/>
                <w:sz w:val="22"/>
                <w:szCs w:val="22"/>
              </w:rPr>
              <w:softHyphen/>
              <w:t>lerisch-praktische Arbeiten im normalen Kunstkurs zu kurz kommt. Hier können praktische Arbeiten intensiviert werden.</w:t>
            </w:r>
            <w:r>
              <w:rPr>
                <w:rFonts w:cs="Arial"/>
                <w:sz w:val="22"/>
                <w:szCs w:val="22"/>
              </w:rPr>
              <w:t xml:space="preserve"> </w:t>
            </w:r>
          </w:p>
          <w:p w:rsidR="00EF3A42" w:rsidRPr="00E6505E" w:rsidRDefault="00EF3A42" w:rsidP="002E3C54">
            <w:pPr>
              <w:spacing w:before="40" w:after="0"/>
              <w:rPr>
                <w:rFonts w:cs="Arial"/>
                <w:sz w:val="22"/>
                <w:szCs w:val="22"/>
              </w:rPr>
            </w:pPr>
            <w:r>
              <w:rPr>
                <w:rFonts w:cs="Arial"/>
                <w:sz w:val="22"/>
                <w:szCs w:val="22"/>
              </w:rPr>
              <w:t>(Inhalte konzipiert für Q11 und Q12)</w:t>
            </w:r>
          </w:p>
        </w:tc>
      </w:tr>
      <w:tr w:rsidR="00EF3A42" w:rsidRPr="002E3C54" w:rsidTr="00EF3A42">
        <w:trPr>
          <w:cantSplit/>
          <w:jc w:val="center"/>
        </w:trPr>
        <w:tc>
          <w:tcPr>
            <w:tcW w:w="852" w:type="pct"/>
            <w:tcBorders>
              <w:top w:val="single" w:sz="4" w:space="0" w:color="auto"/>
              <w:left w:val="single" w:sz="12"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Pr>
                <w:rFonts w:cs="Arial"/>
                <w:sz w:val="22"/>
                <w:szCs w:val="22"/>
              </w:rPr>
              <w:t>Archäologie*</w:t>
            </w:r>
          </w:p>
        </w:tc>
        <w:tc>
          <w:tcPr>
            <w:tcW w:w="796"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Pr>
                <w:rFonts w:cs="Arial"/>
                <w:sz w:val="22"/>
                <w:szCs w:val="22"/>
              </w:rPr>
              <w:t>Archäologie</w:t>
            </w:r>
          </w:p>
        </w:tc>
        <w:tc>
          <w:tcPr>
            <w:tcW w:w="434"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Pr>
                <w:rFonts w:cs="Arial"/>
                <w:sz w:val="22"/>
                <w:szCs w:val="22"/>
              </w:rPr>
              <w:t>AAE</w:t>
            </w:r>
          </w:p>
        </w:tc>
        <w:tc>
          <w:tcPr>
            <w:tcW w:w="2919" w:type="pct"/>
            <w:tcBorders>
              <w:top w:val="single" w:sz="4" w:space="0" w:color="auto"/>
              <w:left w:val="single" w:sz="4" w:space="0" w:color="auto"/>
              <w:bottom w:val="single" w:sz="4" w:space="0" w:color="auto"/>
              <w:right w:val="single" w:sz="12" w:space="0" w:color="auto"/>
            </w:tcBorders>
          </w:tcPr>
          <w:p w:rsidR="00EF3A42" w:rsidRPr="005265BB" w:rsidRDefault="00EF3A42" w:rsidP="005265BB">
            <w:pPr>
              <w:jc w:val="both"/>
              <w:rPr>
                <w:rFonts w:cs="Arial"/>
                <w:sz w:val="22"/>
                <w:szCs w:val="22"/>
              </w:rPr>
            </w:pPr>
            <w:r w:rsidRPr="005265BB">
              <w:rPr>
                <w:rFonts w:cs="Arial"/>
                <w:sz w:val="22"/>
                <w:szCs w:val="22"/>
              </w:rPr>
              <w:t xml:space="preserve">In diesem Kurs </w:t>
            </w:r>
            <w:r>
              <w:rPr>
                <w:rFonts w:cs="Arial"/>
                <w:sz w:val="22"/>
                <w:szCs w:val="22"/>
              </w:rPr>
              <w:t>soll Einblick gegeben</w:t>
            </w:r>
            <w:r w:rsidRPr="005265BB">
              <w:rPr>
                <w:rFonts w:cs="Arial"/>
                <w:sz w:val="22"/>
                <w:szCs w:val="22"/>
              </w:rPr>
              <w:t xml:space="preserve"> werden in Methodik und Hintergrundwissen der klassischen Archäologie. Dabei sollen vor allem Aspekte der griechisch- römischen A</w:t>
            </w:r>
            <w:r>
              <w:rPr>
                <w:rFonts w:cs="Arial"/>
                <w:sz w:val="22"/>
                <w:szCs w:val="22"/>
              </w:rPr>
              <w:t>ntike beleuchtet werden ebenso wie</w:t>
            </w:r>
            <w:r w:rsidRPr="005265BB">
              <w:rPr>
                <w:rFonts w:cs="Arial"/>
                <w:sz w:val="22"/>
                <w:szCs w:val="22"/>
              </w:rPr>
              <w:t xml:space="preserve"> provinzialrömische Archäologie</w:t>
            </w:r>
            <w:r>
              <w:rPr>
                <w:rFonts w:cs="Arial"/>
                <w:sz w:val="22"/>
                <w:szCs w:val="22"/>
              </w:rPr>
              <w:t xml:space="preserve"> betrachtet werden</w:t>
            </w:r>
            <w:proofErr w:type="gramStart"/>
            <w:r>
              <w:rPr>
                <w:rFonts w:cs="Arial"/>
                <w:sz w:val="22"/>
                <w:szCs w:val="22"/>
              </w:rPr>
              <w:t>.</w:t>
            </w:r>
            <w:r w:rsidRPr="005265BB">
              <w:rPr>
                <w:rFonts w:cs="Arial"/>
                <w:sz w:val="22"/>
                <w:szCs w:val="22"/>
              </w:rPr>
              <w:t>.</w:t>
            </w:r>
            <w:proofErr w:type="gramEnd"/>
            <w:r w:rsidRPr="005265BB">
              <w:rPr>
                <w:rFonts w:cs="Arial"/>
                <w:sz w:val="22"/>
                <w:szCs w:val="22"/>
              </w:rPr>
              <w:t xml:space="preserve"> Dabei werden Kenntnisse in den Methoden der Archäologie erworben und auch kunst- und architekturgeschichtliche Themen erläutert. Wichtig ist auch eine Einführung in die Denkmalpflege und den Dankmalschutz.</w:t>
            </w:r>
          </w:p>
          <w:p w:rsidR="00EF3A42" w:rsidRPr="005265BB" w:rsidRDefault="00EF3A42" w:rsidP="005265BB">
            <w:pPr>
              <w:jc w:val="both"/>
              <w:rPr>
                <w:rFonts w:cs="Arial"/>
                <w:sz w:val="22"/>
                <w:szCs w:val="22"/>
              </w:rPr>
            </w:pPr>
            <w:r w:rsidRPr="005265BB">
              <w:rPr>
                <w:rFonts w:cs="Arial"/>
                <w:sz w:val="22"/>
                <w:szCs w:val="22"/>
              </w:rPr>
              <w:t>Vgl. Lehrplan (</w:t>
            </w:r>
            <w:proofErr w:type="spellStart"/>
            <w:r w:rsidRPr="005265BB">
              <w:rPr>
                <w:rFonts w:cs="Arial"/>
                <w:sz w:val="22"/>
                <w:szCs w:val="22"/>
              </w:rPr>
              <w:t>isb</w:t>
            </w:r>
            <w:proofErr w:type="spellEnd"/>
            <w:r w:rsidRPr="005265BB">
              <w:rPr>
                <w:rFonts w:cs="Arial"/>
                <w:sz w:val="22"/>
                <w:szCs w:val="22"/>
              </w:rPr>
              <w:t>-homepage; insbesondere Modul 6- 9 und</w:t>
            </w:r>
            <w:r>
              <w:rPr>
                <w:rFonts w:cs="Arial"/>
                <w:sz w:val="22"/>
                <w:szCs w:val="22"/>
              </w:rPr>
              <w:t xml:space="preserve"> </w:t>
            </w:r>
            <w:r w:rsidRPr="005265BB">
              <w:rPr>
                <w:rFonts w:cs="Arial"/>
                <w:sz w:val="22"/>
                <w:szCs w:val="22"/>
              </w:rPr>
              <w:t>14)</w:t>
            </w:r>
          </w:p>
          <w:p w:rsidR="00EF3A42" w:rsidRPr="00E6505E" w:rsidRDefault="00EF3A42" w:rsidP="005265BB">
            <w:pPr>
              <w:jc w:val="both"/>
              <w:rPr>
                <w:rFonts w:cs="Arial"/>
                <w:sz w:val="22"/>
                <w:szCs w:val="22"/>
              </w:rPr>
            </w:pPr>
            <w:r w:rsidRPr="005265BB">
              <w:rPr>
                <w:rFonts w:cs="Arial"/>
                <w:sz w:val="22"/>
                <w:szCs w:val="22"/>
              </w:rPr>
              <w:t>Vorgesehen ist der Kurs einjährig</w:t>
            </w:r>
            <w:r>
              <w:rPr>
                <w:rFonts w:cs="Arial"/>
                <w:sz w:val="22"/>
                <w:szCs w:val="22"/>
              </w:rPr>
              <w:t xml:space="preserve"> in Q11.</w:t>
            </w:r>
          </w:p>
        </w:tc>
      </w:tr>
      <w:tr w:rsidR="00EF3A42" w:rsidRPr="002E3C54" w:rsidTr="00EF3A42">
        <w:trPr>
          <w:cantSplit/>
          <w:jc w:val="center"/>
        </w:trPr>
        <w:tc>
          <w:tcPr>
            <w:tcW w:w="852" w:type="pct"/>
            <w:tcBorders>
              <w:top w:val="single" w:sz="4" w:space="0" w:color="auto"/>
              <w:left w:val="single" w:sz="12"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Pr>
                <w:rFonts w:cs="Arial"/>
                <w:sz w:val="22"/>
                <w:szCs w:val="22"/>
              </w:rPr>
              <w:t>Philosophie</w:t>
            </w:r>
          </w:p>
        </w:tc>
        <w:tc>
          <w:tcPr>
            <w:tcW w:w="796"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Pr>
                <w:rFonts w:cs="Arial"/>
                <w:sz w:val="22"/>
                <w:szCs w:val="22"/>
              </w:rPr>
              <w:t>Philosophie</w:t>
            </w:r>
          </w:p>
        </w:tc>
        <w:tc>
          <w:tcPr>
            <w:tcW w:w="434"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Pr>
                <w:rFonts w:cs="Arial"/>
                <w:sz w:val="22"/>
                <w:szCs w:val="22"/>
              </w:rPr>
              <w:t>PHI</w:t>
            </w:r>
          </w:p>
        </w:tc>
        <w:tc>
          <w:tcPr>
            <w:tcW w:w="2919" w:type="pct"/>
            <w:tcBorders>
              <w:top w:val="single" w:sz="4" w:space="0" w:color="auto"/>
              <w:left w:val="single" w:sz="4" w:space="0" w:color="auto"/>
              <w:bottom w:val="single" w:sz="4" w:space="0" w:color="auto"/>
              <w:right w:val="single" w:sz="12" w:space="0" w:color="auto"/>
            </w:tcBorders>
            <w:shd w:val="clear" w:color="auto" w:fill="auto"/>
          </w:tcPr>
          <w:p w:rsidR="00EF3A42" w:rsidRPr="005956F0" w:rsidRDefault="00EF3A42" w:rsidP="005956F0">
            <w:pPr>
              <w:rPr>
                <w:sz w:val="22"/>
                <w:szCs w:val="22"/>
              </w:rPr>
            </w:pPr>
            <w:r w:rsidRPr="005956F0">
              <w:rPr>
                <w:sz w:val="22"/>
                <w:szCs w:val="22"/>
              </w:rPr>
              <w:t xml:space="preserve">WIESO, WESHALB, WARUM? Aus der natürlichen Neugier und dem Staunen über die kleinen und großen Dinge in unserem Leben ergeben sich uns Menschen viele Fragen. Die modernen Naturwissenschaften helfen uns auf der Basis von Experimenten diese großen und kleinen Dinge besser zu begreifen. Doch damit beantworten sie noch längst nicht alle wichtigen Fragen des Menschen. Das Profilfach Philosophie ("Liebe zur Weisheit") bietet die Möglichkeit eigenen existenziellen Fragen nachzugehen und sich im Gespräch sowohl mit den Mitschülern als auch in Auseinandersetzung mit Positionen aus der Philosophiegeschichte seine eigene Meinung zu bilden. Dabei können philosophische Schwerpunkte gesetzt werden und an ausgewählten Beispielen aus Film und Kunst vertieft werden: Was ist Wahrheit - angesichts von </w:t>
            </w:r>
            <w:proofErr w:type="spellStart"/>
            <w:r w:rsidRPr="005956F0">
              <w:rPr>
                <w:sz w:val="22"/>
                <w:szCs w:val="22"/>
              </w:rPr>
              <w:t>Fake</w:t>
            </w:r>
            <w:proofErr w:type="spellEnd"/>
            <w:r w:rsidRPr="005956F0">
              <w:rPr>
                <w:sz w:val="22"/>
                <w:szCs w:val="22"/>
              </w:rPr>
              <w:t xml:space="preserve">-News und persönlich zugeschnittener Informationsblasen?  Was hat meine subjektive Wahrnehmung mit Erkennen zu tun? Was ist Liebe? Wie kann mein Leben gelingen? Was ist Glück? Wie kann ich gut handeln? Brauche ich Hoffnung, um zu leben? Gibt es Hoffnung über den Tod hinaus? </w:t>
            </w:r>
          </w:p>
          <w:p w:rsidR="00EF3A42" w:rsidRPr="005956F0" w:rsidRDefault="00EF3A42" w:rsidP="005956F0">
            <w:pPr>
              <w:rPr>
                <w:sz w:val="22"/>
                <w:szCs w:val="22"/>
              </w:rPr>
            </w:pPr>
            <w:r w:rsidRPr="005956F0">
              <w:rPr>
                <w:sz w:val="22"/>
                <w:szCs w:val="22"/>
              </w:rPr>
              <w:t>Der Kurs kann</w:t>
            </w:r>
            <w:r>
              <w:rPr>
                <w:sz w:val="22"/>
                <w:szCs w:val="22"/>
              </w:rPr>
              <w:t xml:space="preserve"> nur in Q11</w:t>
            </w:r>
            <w:r w:rsidRPr="005956F0">
              <w:rPr>
                <w:sz w:val="22"/>
                <w:szCs w:val="22"/>
              </w:rPr>
              <w:t xml:space="preserve"> belegt werden.</w:t>
            </w:r>
          </w:p>
        </w:tc>
      </w:tr>
      <w:tr w:rsidR="00EF3A42" w:rsidRPr="002E3C54" w:rsidTr="00EF3A42">
        <w:trPr>
          <w:cantSplit/>
          <w:jc w:val="center"/>
        </w:trPr>
        <w:tc>
          <w:tcPr>
            <w:tcW w:w="852" w:type="pct"/>
            <w:tcBorders>
              <w:top w:val="single" w:sz="4" w:space="0" w:color="auto"/>
              <w:left w:val="single" w:sz="12" w:space="0" w:color="auto"/>
              <w:bottom w:val="single" w:sz="4" w:space="0" w:color="auto"/>
              <w:right w:val="single" w:sz="4" w:space="0" w:color="auto"/>
            </w:tcBorders>
          </w:tcPr>
          <w:p w:rsidR="00EF3A42" w:rsidRPr="002E3C54" w:rsidRDefault="00EF3A42" w:rsidP="00752C76">
            <w:pPr>
              <w:spacing w:before="40" w:after="0"/>
              <w:rPr>
                <w:rFonts w:cs="Arial"/>
                <w:sz w:val="22"/>
                <w:szCs w:val="22"/>
              </w:rPr>
            </w:pPr>
            <w:r w:rsidRPr="002E3C54">
              <w:rPr>
                <w:rFonts w:cs="Arial"/>
                <w:sz w:val="22"/>
                <w:szCs w:val="22"/>
              </w:rPr>
              <w:lastRenderedPageBreak/>
              <w:t>Psychologie*</w:t>
            </w:r>
          </w:p>
        </w:tc>
        <w:tc>
          <w:tcPr>
            <w:tcW w:w="796" w:type="pct"/>
            <w:tcBorders>
              <w:top w:val="single" w:sz="4" w:space="0" w:color="auto"/>
              <w:left w:val="single" w:sz="4" w:space="0" w:color="auto"/>
              <w:bottom w:val="single" w:sz="4" w:space="0" w:color="auto"/>
              <w:right w:val="single" w:sz="4" w:space="0" w:color="auto"/>
            </w:tcBorders>
          </w:tcPr>
          <w:p w:rsidR="00EF3A42" w:rsidRPr="002E3C54" w:rsidRDefault="00EF3A42" w:rsidP="00752C76">
            <w:pPr>
              <w:spacing w:before="40" w:after="0"/>
              <w:rPr>
                <w:rFonts w:cs="Arial"/>
                <w:sz w:val="22"/>
                <w:szCs w:val="22"/>
              </w:rPr>
            </w:pPr>
            <w:r w:rsidRPr="002E3C54">
              <w:rPr>
                <w:rFonts w:cs="Arial"/>
                <w:sz w:val="22"/>
                <w:szCs w:val="22"/>
              </w:rPr>
              <w:t>Psychologie</w:t>
            </w:r>
          </w:p>
        </w:tc>
        <w:tc>
          <w:tcPr>
            <w:tcW w:w="434" w:type="pct"/>
            <w:tcBorders>
              <w:top w:val="single" w:sz="4" w:space="0" w:color="auto"/>
              <w:left w:val="single" w:sz="4" w:space="0" w:color="auto"/>
              <w:bottom w:val="single" w:sz="4" w:space="0" w:color="auto"/>
              <w:right w:val="single" w:sz="4" w:space="0" w:color="auto"/>
            </w:tcBorders>
          </w:tcPr>
          <w:p w:rsidR="00EF3A42" w:rsidRPr="002E3C54" w:rsidRDefault="00EF3A42" w:rsidP="00752C76">
            <w:pPr>
              <w:spacing w:before="40" w:after="0"/>
              <w:rPr>
                <w:rFonts w:cs="Arial"/>
                <w:sz w:val="22"/>
                <w:szCs w:val="22"/>
              </w:rPr>
            </w:pPr>
            <w:r w:rsidRPr="002E3C54">
              <w:rPr>
                <w:rFonts w:cs="Arial"/>
                <w:sz w:val="22"/>
                <w:szCs w:val="22"/>
              </w:rPr>
              <w:t>PSY</w:t>
            </w:r>
          </w:p>
        </w:tc>
        <w:tc>
          <w:tcPr>
            <w:tcW w:w="2919" w:type="pct"/>
            <w:tcBorders>
              <w:top w:val="single" w:sz="4" w:space="0" w:color="auto"/>
              <w:left w:val="single" w:sz="4" w:space="0" w:color="auto"/>
              <w:bottom w:val="single" w:sz="4" w:space="0" w:color="auto"/>
              <w:right w:val="single" w:sz="12" w:space="0" w:color="auto"/>
            </w:tcBorders>
          </w:tcPr>
          <w:p w:rsidR="00EF3A42" w:rsidRPr="00E6505E" w:rsidRDefault="00EF3A42" w:rsidP="00752C76">
            <w:pPr>
              <w:spacing w:before="40" w:after="0"/>
              <w:rPr>
                <w:rFonts w:cs="Arial"/>
                <w:sz w:val="22"/>
                <w:szCs w:val="22"/>
              </w:rPr>
            </w:pPr>
            <w:r w:rsidRPr="00E6505E">
              <w:rPr>
                <w:rFonts w:cs="Arial"/>
                <w:sz w:val="22"/>
                <w:szCs w:val="22"/>
              </w:rPr>
              <w:t xml:space="preserve">Im Fokus stehen – wie schon der Name sagt – die Seele des Menschen und die Zugangswege zu ihr. Neben den Gedanken der großen psychologischen Schulen wie der Psychoanalyse, dem Behaviorismus und der Humanistischen Psychologie wird sich der Kurs mit Fragen wie „Was ist Intelligenz? Wie funktioniert Wahrnehmung? Wie läuft Kommunikation ab?“ beschäftigen. </w:t>
            </w:r>
          </w:p>
          <w:p w:rsidR="00EF3A42" w:rsidRPr="00E6505E" w:rsidRDefault="00EF3A42" w:rsidP="00752C76">
            <w:pPr>
              <w:spacing w:before="40" w:after="0"/>
              <w:rPr>
                <w:rFonts w:cs="Arial"/>
                <w:sz w:val="22"/>
                <w:szCs w:val="22"/>
              </w:rPr>
            </w:pPr>
            <w:r w:rsidRPr="00E6505E">
              <w:rPr>
                <w:rFonts w:cs="Arial"/>
                <w:sz w:val="22"/>
                <w:szCs w:val="22"/>
              </w:rPr>
              <w:t>Darüber hinaus können aus den verschiedenen psychologischen Bereichen Schwerpunkte gesetzt werden, wie z.B.  die psychologische Entwicklung der menschlichen Identität, gruppenpsychologische Phänomene, die Psychologie des Lernens, oder ver</w:t>
            </w:r>
            <w:r w:rsidRPr="00E6505E">
              <w:rPr>
                <w:rFonts w:cs="Arial"/>
                <w:sz w:val="22"/>
                <w:szCs w:val="22"/>
              </w:rPr>
              <w:softHyphen/>
              <w:t xml:space="preserve">schiedene psychologische Arbeitsfelder, wie die </w:t>
            </w:r>
            <w:r>
              <w:rPr>
                <w:rFonts w:cs="Arial"/>
                <w:sz w:val="22"/>
                <w:szCs w:val="22"/>
              </w:rPr>
              <w:t xml:space="preserve">Klinische Psychologie oder die </w:t>
            </w:r>
            <w:r w:rsidRPr="00E6505E">
              <w:rPr>
                <w:rFonts w:cs="Arial"/>
                <w:sz w:val="22"/>
                <w:szCs w:val="22"/>
              </w:rPr>
              <w:t xml:space="preserve">Rechtspsychologie, näher beleuchtet werden. </w:t>
            </w:r>
            <w:r w:rsidRPr="00E6505E">
              <w:rPr>
                <w:rFonts w:cs="Arial"/>
                <w:sz w:val="22"/>
                <w:szCs w:val="22"/>
              </w:rPr>
              <w:br/>
              <w:t xml:space="preserve">vgl. Lehrplan (siehe ISB-Homepage) </w:t>
            </w:r>
            <w:r w:rsidRPr="00E6505E">
              <w:rPr>
                <w:rFonts w:cs="Arial"/>
                <w:sz w:val="22"/>
                <w:szCs w:val="22"/>
              </w:rPr>
              <w:br/>
              <w:t>Der Kurs kann in Q11, Q12 oder auch über beide Jahre belegt werden.</w:t>
            </w:r>
          </w:p>
        </w:tc>
      </w:tr>
      <w:tr w:rsidR="00EF3A42" w:rsidRPr="002E3C54" w:rsidTr="00EF3A42">
        <w:trPr>
          <w:cantSplit/>
          <w:jc w:val="center"/>
        </w:trPr>
        <w:tc>
          <w:tcPr>
            <w:tcW w:w="852" w:type="pct"/>
          </w:tcPr>
          <w:p w:rsidR="00EF3A42" w:rsidRPr="002E3C54" w:rsidRDefault="00EF3A42" w:rsidP="002E3C54">
            <w:pPr>
              <w:spacing w:before="40" w:after="0"/>
              <w:rPr>
                <w:rFonts w:cs="Arial"/>
                <w:sz w:val="22"/>
                <w:szCs w:val="22"/>
              </w:rPr>
            </w:pPr>
            <w:r w:rsidRPr="002E3C54">
              <w:rPr>
                <w:rFonts w:cs="Arial"/>
                <w:spacing w:val="-4"/>
                <w:sz w:val="22"/>
                <w:szCs w:val="22"/>
              </w:rPr>
              <w:t>Informatik*</w:t>
            </w:r>
          </w:p>
        </w:tc>
        <w:tc>
          <w:tcPr>
            <w:tcW w:w="796" w:type="pct"/>
          </w:tcPr>
          <w:p w:rsidR="00EF3A42" w:rsidRPr="002E3C54" w:rsidRDefault="00EF3A42" w:rsidP="002E3C54">
            <w:pPr>
              <w:spacing w:before="40" w:after="0"/>
              <w:rPr>
                <w:rFonts w:cs="Arial"/>
                <w:sz w:val="22"/>
                <w:szCs w:val="22"/>
              </w:rPr>
            </w:pPr>
            <w:r w:rsidRPr="002E3C54">
              <w:rPr>
                <w:rFonts w:cs="Arial"/>
                <w:sz w:val="22"/>
                <w:szCs w:val="22"/>
              </w:rPr>
              <w:t>Informatik</w:t>
            </w:r>
          </w:p>
        </w:tc>
        <w:tc>
          <w:tcPr>
            <w:tcW w:w="434" w:type="pct"/>
          </w:tcPr>
          <w:p w:rsidR="00EF3A42" w:rsidRPr="002E3C54" w:rsidRDefault="00EF3A42" w:rsidP="002E3C54">
            <w:pPr>
              <w:spacing w:before="40" w:after="0"/>
              <w:rPr>
                <w:rFonts w:cs="Arial"/>
                <w:sz w:val="22"/>
                <w:szCs w:val="22"/>
              </w:rPr>
            </w:pPr>
            <w:r w:rsidRPr="002E3C54">
              <w:rPr>
                <w:rFonts w:cs="Arial"/>
                <w:sz w:val="22"/>
                <w:szCs w:val="22"/>
              </w:rPr>
              <w:t>INF</w:t>
            </w:r>
          </w:p>
        </w:tc>
        <w:tc>
          <w:tcPr>
            <w:tcW w:w="2919" w:type="pct"/>
          </w:tcPr>
          <w:p w:rsidR="00EF3A42" w:rsidRPr="002E3C54" w:rsidRDefault="00EF3A42" w:rsidP="002E3C54">
            <w:pPr>
              <w:spacing w:before="40" w:after="0"/>
              <w:rPr>
                <w:rFonts w:cs="Arial"/>
                <w:color w:val="000000"/>
                <w:sz w:val="22"/>
                <w:szCs w:val="22"/>
              </w:rPr>
            </w:pPr>
            <w:r w:rsidRPr="002E3C54">
              <w:rPr>
                <w:rFonts w:cs="Arial"/>
                <w:color w:val="000000"/>
                <w:sz w:val="22"/>
                <w:szCs w:val="22"/>
              </w:rPr>
              <w:t>Themen:</w:t>
            </w:r>
          </w:p>
          <w:p w:rsidR="00EF3A42" w:rsidRPr="002E3C54" w:rsidRDefault="00EF3A42" w:rsidP="00DA7C7B">
            <w:pPr>
              <w:spacing w:before="40" w:after="0"/>
              <w:rPr>
                <w:rFonts w:cs="Arial"/>
                <w:color w:val="000000"/>
                <w:sz w:val="22"/>
                <w:szCs w:val="22"/>
              </w:rPr>
            </w:pPr>
            <w:r w:rsidRPr="002E3C54">
              <w:rPr>
                <w:rFonts w:cs="Arial"/>
                <w:color w:val="000000"/>
                <w:sz w:val="22"/>
                <w:szCs w:val="22"/>
              </w:rPr>
              <w:t>Listen (Warteschlangen, rekursive Funktionen, sortierte Listen), Binär- und Suchbäume, Graphen (Wege suchen), kooperative Arbeitsformen (Projektplanung), Softwareentwicklung. Programmiert wird in Java.</w:t>
            </w:r>
            <w:r w:rsidRPr="002E3C54">
              <w:rPr>
                <w:rFonts w:cs="Arial"/>
                <w:color w:val="000000"/>
                <w:sz w:val="22"/>
                <w:szCs w:val="22"/>
              </w:rPr>
              <w:br/>
              <w:t>(3-stündig,</w:t>
            </w:r>
            <w:r w:rsidR="00DA7C7B">
              <w:rPr>
                <w:rFonts w:cs="Arial"/>
                <w:color w:val="000000"/>
                <w:sz w:val="22"/>
                <w:szCs w:val="22"/>
              </w:rPr>
              <w:t xml:space="preserve"> Kurs kann in Q11, </w:t>
            </w:r>
            <w:r w:rsidR="00DA7C7B">
              <w:rPr>
                <w:rFonts w:cs="Arial"/>
                <w:sz w:val="22"/>
                <w:szCs w:val="22"/>
              </w:rPr>
              <w:t>Q12 oder auch über beide Jahre belegt werden.</w:t>
            </w:r>
            <w:r w:rsidRPr="002E3C54">
              <w:rPr>
                <w:rFonts w:cs="Arial"/>
                <w:color w:val="000000"/>
                <w:sz w:val="22"/>
                <w:szCs w:val="22"/>
              </w:rPr>
              <w:t>)</w:t>
            </w:r>
          </w:p>
        </w:tc>
      </w:tr>
      <w:tr w:rsidR="00EF3A42" w:rsidRPr="002E3C54" w:rsidTr="00EF3A42">
        <w:trPr>
          <w:cantSplit/>
          <w:jc w:val="center"/>
        </w:trPr>
        <w:tc>
          <w:tcPr>
            <w:tcW w:w="852" w:type="pct"/>
            <w:tcBorders>
              <w:top w:val="single" w:sz="4" w:space="0" w:color="auto"/>
              <w:left w:val="single" w:sz="12"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Astrophysik*</w:t>
            </w:r>
          </w:p>
        </w:tc>
        <w:tc>
          <w:tcPr>
            <w:tcW w:w="796"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Physik</w:t>
            </w:r>
          </w:p>
        </w:tc>
        <w:tc>
          <w:tcPr>
            <w:tcW w:w="434"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 xml:space="preserve">PAS </w:t>
            </w:r>
            <w:r w:rsidRPr="002E3C54">
              <w:rPr>
                <w:rFonts w:cs="Arial"/>
                <w:sz w:val="22"/>
                <w:szCs w:val="22"/>
              </w:rPr>
              <w:br/>
              <w:t>bzw. PHA</w:t>
            </w:r>
          </w:p>
        </w:tc>
        <w:tc>
          <w:tcPr>
            <w:tcW w:w="2919" w:type="pct"/>
            <w:tcBorders>
              <w:top w:val="single" w:sz="4" w:space="0" w:color="auto"/>
              <w:left w:val="single" w:sz="4" w:space="0" w:color="auto"/>
              <w:bottom w:val="single" w:sz="4" w:space="0" w:color="auto"/>
              <w:right w:val="single" w:sz="12" w:space="0" w:color="auto"/>
            </w:tcBorders>
          </w:tcPr>
          <w:p w:rsidR="00EF3A42" w:rsidRPr="002E3C54" w:rsidRDefault="00EF3A42" w:rsidP="002E3C54">
            <w:pPr>
              <w:spacing w:before="40" w:after="0"/>
              <w:rPr>
                <w:rFonts w:cs="Arial"/>
                <w:sz w:val="22"/>
                <w:szCs w:val="22"/>
              </w:rPr>
            </w:pPr>
            <w:r w:rsidRPr="002E3C54">
              <w:rPr>
                <w:rFonts w:cs="Arial"/>
                <w:sz w:val="22"/>
                <w:szCs w:val="22"/>
              </w:rPr>
              <w:t>3-stündig nur in Q12</w:t>
            </w:r>
          </w:p>
          <w:p w:rsidR="00EF3A42" w:rsidRPr="002E3C54" w:rsidRDefault="00EF3A42" w:rsidP="002E3C54">
            <w:pPr>
              <w:spacing w:before="40" w:after="0"/>
              <w:rPr>
                <w:rFonts w:cs="Arial"/>
                <w:sz w:val="22"/>
                <w:szCs w:val="22"/>
              </w:rPr>
            </w:pPr>
            <w:r w:rsidRPr="002E3C54">
              <w:rPr>
                <w:rFonts w:cs="Arial"/>
                <w:sz w:val="22"/>
                <w:szCs w:val="22"/>
              </w:rPr>
              <w:t>Themen: Orientierung am Himmel, Sonnensystem, Sonne, Sterne, Großstrukturen im Weltall.</w:t>
            </w:r>
            <w:r w:rsidRPr="002E3C54">
              <w:rPr>
                <w:rFonts w:cs="Arial"/>
                <w:sz w:val="22"/>
                <w:szCs w:val="22"/>
              </w:rPr>
              <w:br/>
              <w:t>(PHA: auch für Schüler, die auch die klassische Physik in Q12 belegen)</w:t>
            </w:r>
          </w:p>
        </w:tc>
      </w:tr>
      <w:tr w:rsidR="00EF3A42" w:rsidRPr="002E3C54" w:rsidTr="00EF3A42">
        <w:trPr>
          <w:cantSplit/>
          <w:jc w:val="center"/>
        </w:trPr>
        <w:tc>
          <w:tcPr>
            <w:tcW w:w="852" w:type="pct"/>
            <w:tcBorders>
              <w:top w:val="single" w:sz="4" w:space="0" w:color="auto"/>
              <w:left w:val="single" w:sz="12"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Biophysik*</w:t>
            </w:r>
          </w:p>
        </w:tc>
        <w:tc>
          <w:tcPr>
            <w:tcW w:w="796"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Physik</w:t>
            </w:r>
          </w:p>
        </w:tc>
        <w:tc>
          <w:tcPr>
            <w:tcW w:w="434" w:type="pct"/>
            <w:tcBorders>
              <w:top w:val="single" w:sz="4" w:space="0" w:color="auto"/>
              <w:left w:val="single" w:sz="4" w:space="0" w:color="auto"/>
              <w:bottom w:val="single" w:sz="4" w:space="0" w:color="auto"/>
              <w:right w:val="single" w:sz="4" w:space="0" w:color="auto"/>
            </w:tcBorders>
          </w:tcPr>
          <w:p w:rsidR="00EF3A42" w:rsidRPr="002E3C54" w:rsidRDefault="00EF3A42" w:rsidP="002E3C54">
            <w:pPr>
              <w:spacing w:before="40" w:after="0"/>
              <w:rPr>
                <w:rFonts w:cs="Arial"/>
                <w:sz w:val="22"/>
                <w:szCs w:val="22"/>
              </w:rPr>
            </w:pPr>
            <w:r w:rsidRPr="002E3C54">
              <w:rPr>
                <w:rFonts w:cs="Arial"/>
                <w:sz w:val="22"/>
                <w:szCs w:val="22"/>
              </w:rPr>
              <w:t>PBI</w:t>
            </w:r>
            <w:r w:rsidRPr="002E3C54">
              <w:rPr>
                <w:rFonts w:cs="Arial"/>
                <w:sz w:val="22"/>
                <w:szCs w:val="22"/>
              </w:rPr>
              <w:br/>
              <w:t>bzw.</w:t>
            </w:r>
            <w:r w:rsidRPr="002E3C54">
              <w:rPr>
                <w:rFonts w:cs="Arial"/>
                <w:sz w:val="22"/>
                <w:szCs w:val="22"/>
              </w:rPr>
              <w:br/>
              <w:t>PHB</w:t>
            </w:r>
          </w:p>
        </w:tc>
        <w:tc>
          <w:tcPr>
            <w:tcW w:w="2919" w:type="pct"/>
            <w:tcBorders>
              <w:top w:val="single" w:sz="4" w:space="0" w:color="auto"/>
              <w:left w:val="single" w:sz="4" w:space="0" w:color="auto"/>
              <w:bottom w:val="single" w:sz="4" w:space="0" w:color="auto"/>
              <w:right w:val="single" w:sz="12" w:space="0" w:color="auto"/>
            </w:tcBorders>
          </w:tcPr>
          <w:p w:rsidR="00EF3A42" w:rsidRPr="002E3C54" w:rsidRDefault="00EF3A42" w:rsidP="002E3C54">
            <w:pPr>
              <w:spacing w:before="40" w:after="0"/>
              <w:rPr>
                <w:rFonts w:cs="Arial"/>
                <w:sz w:val="22"/>
                <w:szCs w:val="22"/>
              </w:rPr>
            </w:pPr>
            <w:r w:rsidRPr="002E3C54">
              <w:rPr>
                <w:rFonts w:cs="Arial"/>
                <w:sz w:val="22"/>
                <w:szCs w:val="22"/>
              </w:rPr>
              <w:t xml:space="preserve">3-stündig nur in Q11 </w:t>
            </w:r>
          </w:p>
          <w:p w:rsidR="00EF3A42" w:rsidRPr="002E3C54" w:rsidRDefault="00EF3A42" w:rsidP="002E3C54">
            <w:pPr>
              <w:spacing w:before="40" w:after="0"/>
              <w:rPr>
                <w:rFonts w:cs="Arial"/>
                <w:sz w:val="22"/>
                <w:szCs w:val="22"/>
              </w:rPr>
            </w:pPr>
            <w:r w:rsidRPr="002E3C54">
              <w:rPr>
                <w:rFonts w:cs="Arial"/>
                <w:sz w:val="22"/>
                <w:szCs w:val="22"/>
              </w:rPr>
              <w:t>Inhalte:</w:t>
            </w:r>
          </w:p>
          <w:p w:rsidR="00EF3A42" w:rsidRPr="002E3C54" w:rsidRDefault="00EF3A42" w:rsidP="002E3C54">
            <w:pPr>
              <w:spacing w:before="40" w:after="0"/>
              <w:rPr>
                <w:rFonts w:cs="Arial"/>
                <w:sz w:val="22"/>
                <w:szCs w:val="22"/>
              </w:rPr>
            </w:pPr>
            <w:r w:rsidRPr="002E3C54">
              <w:rPr>
                <w:rFonts w:cs="Arial"/>
                <w:sz w:val="22"/>
                <w:szCs w:val="22"/>
              </w:rPr>
              <w:t>- Auge und Ohr</w:t>
            </w:r>
          </w:p>
          <w:p w:rsidR="00EF3A42" w:rsidRPr="002E3C54" w:rsidRDefault="00EF3A42" w:rsidP="002E3C54">
            <w:pPr>
              <w:spacing w:before="40" w:after="0"/>
              <w:rPr>
                <w:rFonts w:cs="Arial"/>
                <w:sz w:val="22"/>
                <w:szCs w:val="22"/>
              </w:rPr>
            </w:pPr>
            <w:r w:rsidRPr="002E3C54">
              <w:rPr>
                <w:rFonts w:cs="Arial"/>
                <w:sz w:val="22"/>
                <w:szCs w:val="22"/>
              </w:rPr>
              <w:t>- Typische Untersuchungsmethoden</w:t>
            </w:r>
          </w:p>
          <w:p w:rsidR="00EF3A42" w:rsidRPr="002E3C54" w:rsidRDefault="00EF3A42" w:rsidP="002E3C54">
            <w:pPr>
              <w:spacing w:before="40" w:after="0"/>
              <w:rPr>
                <w:rFonts w:cs="Arial"/>
                <w:sz w:val="22"/>
                <w:szCs w:val="22"/>
              </w:rPr>
            </w:pPr>
            <w:r w:rsidRPr="002E3C54">
              <w:rPr>
                <w:rFonts w:cs="Arial"/>
                <w:sz w:val="22"/>
                <w:szCs w:val="22"/>
              </w:rPr>
              <w:t xml:space="preserve">- </w:t>
            </w:r>
            <w:r w:rsidRPr="002E3C54">
              <w:rPr>
                <w:rFonts w:cs="Arial"/>
                <w:spacing w:val="-2"/>
                <w:sz w:val="22"/>
                <w:szCs w:val="22"/>
              </w:rPr>
              <w:t>Neuronale Signalleitung und Informationsverarbeitung</w:t>
            </w:r>
          </w:p>
          <w:p w:rsidR="00EF3A42" w:rsidRPr="002E3C54" w:rsidRDefault="00EF3A42" w:rsidP="002E3C54">
            <w:pPr>
              <w:spacing w:before="40" w:after="0"/>
              <w:rPr>
                <w:rFonts w:cs="Arial"/>
                <w:sz w:val="22"/>
                <w:szCs w:val="22"/>
              </w:rPr>
            </w:pPr>
            <w:r w:rsidRPr="002E3C54">
              <w:rPr>
                <w:rFonts w:cs="Arial"/>
                <w:sz w:val="22"/>
                <w:szCs w:val="22"/>
              </w:rPr>
              <w:t>Alternativ: Photosynthese, Strahlen- und Medizinphysik oder Grundlagen der Biomechanik.</w:t>
            </w:r>
          </w:p>
          <w:p w:rsidR="00EF3A42" w:rsidRPr="002E3C54" w:rsidRDefault="00EF3A42" w:rsidP="002E3C54">
            <w:pPr>
              <w:spacing w:before="40" w:after="0"/>
              <w:rPr>
                <w:rFonts w:cs="Arial"/>
                <w:sz w:val="22"/>
                <w:szCs w:val="22"/>
              </w:rPr>
            </w:pPr>
            <w:r w:rsidRPr="002E3C54">
              <w:rPr>
                <w:rFonts w:cs="Arial"/>
                <w:sz w:val="22"/>
                <w:szCs w:val="22"/>
              </w:rPr>
              <w:t>Teile davon werden auch in der klassischen Physik unterrichtet.</w:t>
            </w:r>
          </w:p>
          <w:p w:rsidR="00EF3A42" w:rsidRPr="002E3C54" w:rsidRDefault="00EF3A42" w:rsidP="002E3C54">
            <w:pPr>
              <w:spacing w:before="40" w:after="0"/>
              <w:rPr>
                <w:rFonts w:cs="Arial"/>
                <w:sz w:val="22"/>
                <w:szCs w:val="22"/>
              </w:rPr>
            </w:pPr>
            <w:r w:rsidRPr="002E3C54">
              <w:rPr>
                <w:rFonts w:cs="Arial"/>
                <w:sz w:val="22"/>
                <w:szCs w:val="22"/>
              </w:rPr>
              <w:t>Die physikalischen Grundkenntnisse aus der 10. Jgst. reichen aus.</w:t>
            </w:r>
          </w:p>
          <w:p w:rsidR="00EF3A42" w:rsidRPr="002E3C54" w:rsidRDefault="00EF3A42" w:rsidP="002E3C54">
            <w:pPr>
              <w:spacing w:before="40" w:after="0"/>
              <w:rPr>
                <w:rFonts w:cs="Arial"/>
                <w:sz w:val="22"/>
                <w:szCs w:val="22"/>
              </w:rPr>
            </w:pPr>
            <w:r w:rsidRPr="002E3C54">
              <w:rPr>
                <w:rFonts w:cs="Arial"/>
                <w:sz w:val="22"/>
                <w:szCs w:val="22"/>
              </w:rPr>
              <w:t xml:space="preserve">(PHB: auch für Schüler, die auch die klassische Physik in Q11 belegen) </w:t>
            </w:r>
          </w:p>
        </w:tc>
      </w:tr>
    </w:tbl>
    <w:p w:rsidR="00050BE2" w:rsidRDefault="00050BE2" w:rsidP="00FA34BB">
      <w:pPr>
        <w:outlineLvl w:val="0"/>
        <w:rPr>
          <w:rFonts w:ascii="Tahoma" w:hAnsi="Tahoma" w:cs="Tahoma"/>
          <w:szCs w:val="22"/>
        </w:rPr>
      </w:pPr>
    </w:p>
    <w:p w:rsidR="00FA34BB" w:rsidRPr="001C4B44" w:rsidRDefault="00FA34BB" w:rsidP="00FA34BB">
      <w:pPr>
        <w:outlineLvl w:val="0"/>
        <w:rPr>
          <w:rFonts w:ascii="Tahoma" w:hAnsi="Tahoma" w:cs="Tahoma"/>
          <w:szCs w:val="22"/>
        </w:rPr>
      </w:pPr>
      <w:r w:rsidRPr="001C4B44">
        <w:rPr>
          <w:rFonts w:ascii="Tahoma" w:hAnsi="Tahoma" w:cs="Tahoma"/>
          <w:szCs w:val="22"/>
        </w:rPr>
        <w:t>Die Profilfächer werden mit 2 Wochenstunden unterrichtet (Ausnahme</w:t>
      </w:r>
      <w:r w:rsidR="00C552E2">
        <w:rPr>
          <w:rFonts w:ascii="Tahoma" w:hAnsi="Tahoma" w:cs="Tahoma"/>
          <w:szCs w:val="22"/>
        </w:rPr>
        <w:t>n</w:t>
      </w:r>
      <w:r w:rsidRPr="001C4B44">
        <w:rPr>
          <w:rFonts w:ascii="Tahoma" w:hAnsi="Tahoma" w:cs="Tahoma"/>
          <w:szCs w:val="22"/>
        </w:rPr>
        <w:t xml:space="preserve">: </w:t>
      </w:r>
      <w:r w:rsidR="00C552E2">
        <w:rPr>
          <w:rFonts w:ascii="Tahoma" w:hAnsi="Tahoma" w:cs="Tahoma"/>
          <w:szCs w:val="22"/>
        </w:rPr>
        <w:t xml:space="preserve">Informatik und </w:t>
      </w:r>
      <w:r w:rsidRPr="001C4B44">
        <w:rPr>
          <w:rFonts w:ascii="Tahoma" w:hAnsi="Tahoma" w:cs="Tahoma"/>
          <w:szCs w:val="22"/>
        </w:rPr>
        <w:t>Physik</w:t>
      </w:r>
      <w:r w:rsidR="003E0671">
        <w:rPr>
          <w:rFonts w:ascii="Tahoma" w:hAnsi="Tahoma" w:cs="Tahoma"/>
          <w:szCs w:val="22"/>
        </w:rPr>
        <w:t xml:space="preserve"> mit 3 Wochenstunden</w:t>
      </w:r>
      <w:r w:rsidRPr="001C4B44">
        <w:rPr>
          <w:rFonts w:ascii="Tahoma" w:hAnsi="Tahoma" w:cs="Tahoma"/>
          <w:szCs w:val="22"/>
        </w:rPr>
        <w:t>).</w:t>
      </w:r>
    </w:p>
    <w:p w:rsidR="00FA34BB" w:rsidRPr="001C4B44" w:rsidRDefault="00FA34BB" w:rsidP="00FA34BB">
      <w:pPr>
        <w:rPr>
          <w:rFonts w:ascii="Tahoma" w:hAnsi="Tahoma" w:cs="Tahoma"/>
          <w:szCs w:val="22"/>
        </w:rPr>
      </w:pPr>
    </w:p>
    <w:p w:rsidR="00FA34BB" w:rsidRDefault="00FA34BB" w:rsidP="00FA34BB">
      <w:pPr>
        <w:outlineLvl w:val="0"/>
        <w:rPr>
          <w:rFonts w:ascii="Tahoma" w:hAnsi="Tahoma" w:cs="Tahoma"/>
          <w:szCs w:val="22"/>
        </w:rPr>
      </w:pPr>
      <w:r w:rsidRPr="001C4B44">
        <w:rPr>
          <w:rFonts w:ascii="Tahoma" w:hAnsi="Tahoma" w:cs="Tahoma"/>
          <w:szCs w:val="22"/>
        </w:rPr>
        <w:t>Sollten weitere Fragen zu den Profilfächern bestehen, wendet euch bitte an die angegebenen Fachlehrer.</w:t>
      </w:r>
    </w:p>
    <w:p w:rsidR="00050BE2" w:rsidRPr="00E8007A" w:rsidRDefault="00050BE2" w:rsidP="00FA34BB">
      <w:pPr>
        <w:outlineLvl w:val="0"/>
        <w:rPr>
          <w:rFonts w:ascii="Tahoma" w:hAnsi="Tahoma" w:cs="Tahoma"/>
          <w:szCs w:val="22"/>
        </w:rPr>
      </w:pPr>
    </w:p>
    <w:p w:rsidR="00FA34BB" w:rsidRPr="005E5624" w:rsidRDefault="00FA34BB" w:rsidP="005E5624">
      <w:pPr>
        <w:rPr>
          <w:rFonts w:ascii="Tahoma" w:hAnsi="Tahoma" w:cs="Tahoma"/>
          <w:b/>
          <w:sz w:val="22"/>
          <w:szCs w:val="22"/>
        </w:rPr>
      </w:pPr>
      <w:r>
        <w:rPr>
          <w:rFonts w:ascii="Tahoma" w:hAnsi="Tahoma" w:cs="Tahoma"/>
          <w:b/>
          <w:sz w:val="22"/>
          <w:szCs w:val="22"/>
        </w:rPr>
        <w:t xml:space="preserve">*  Der Lehrplan ist im Internet einsehbar unter  </w:t>
      </w:r>
      <w:hyperlink r:id="rId7" w:history="1">
        <w:r>
          <w:rPr>
            <w:rStyle w:val="Hyperlink"/>
            <w:rFonts w:ascii="Tahoma" w:hAnsi="Tahoma" w:cs="Tahoma"/>
            <w:b/>
            <w:sz w:val="22"/>
            <w:szCs w:val="22"/>
          </w:rPr>
          <w:t>www.i</w:t>
        </w:r>
        <w:r w:rsidRPr="008E2BB0">
          <w:rPr>
            <w:rStyle w:val="Hyperlink"/>
            <w:rFonts w:ascii="Tahoma" w:hAnsi="Tahoma" w:cs="Tahoma"/>
            <w:b/>
            <w:sz w:val="22"/>
            <w:szCs w:val="22"/>
          </w:rPr>
          <w:t>sb.bayern.de</w:t>
        </w:r>
      </w:hyperlink>
      <w:r w:rsidR="005E5624">
        <w:rPr>
          <w:rFonts w:ascii="Tahoma" w:hAnsi="Tahoma" w:cs="Tahoma"/>
          <w:b/>
          <w:sz w:val="22"/>
          <w:szCs w:val="22"/>
        </w:rPr>
        <w:tab/>
      </w:r>
      <w:r w:rsidR="005E5624">
        <w:rPr>
          <w:rFonts w:ascii="Tahoma" w:hAnsi="Tahoma" w:cs="Tahoma"/>
          <w:b/>
          <w:sz w:val="22"/>
          <w:szCs w:val="22"/>
        </w:rPr>
        <w:tab/>
      </w:r>
      <w:r w:rsidR="005E5624">
        <w:rPr>
          <w:rFonts w:ascii="Tahoma" w:hAnsi="Tahoma" w:cs="Tahoma"/>
          <w:b/>
          <w:sz w:val="22"/>
          <w:szCs w:val="22"/>
        </w:rPr>
        <w:tab/>
      </w:r>
      <w:r w:rsidR="005E5624">
        <w:rPr>
          <w:rFonts w:ascii="Tahoma" w:hAnsi="Tahoma" w:cs="Tahoma"/>
          <w:b/>
          <w:sz w:val="22"/>
          <w:szCs w:val="22"/>
        </w:rPr>
        <w:tab/>
      </w:r>
      <w:r w:rsidR="005265BB">
        <w:rPr>
          <w:rFonts w:ascii="Tahoma" w:hAnsi="Tahoma" w:cs="Tahoma"/>
          <w:sz w:val="22"/>
          <w:szCs w:val="22"/>
        </w:rPr>
        <w:t>Ml</w:t>
      </w:r>
      <w:r w:rsidR="00D22F59">
        <w:rPr>
          <w:rFonts w:ascii="Tahoma" w:hAnsi="Tahoma" w:cs="Tahoma"/>
          <w:sz w:val="22"/>
          <w:szCs w:val="22"/>
        </w:rPr>
        <w:t xml:space="preserve"> / Kr</w:t>
      </w:r>
    </w:p>
    <w:sectPr w:rsidR="00FA34BB" w:rsidRPr="005E5624" w:rsidSect="00D223C5">
      <w:pgSz w:w="11906" w:h="16838" w:code="9"/>
      <w:pgMar w:top="567" w:right="454" w:bottom="567" w:left="45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502"/>
        </w:tabs>
        <w:ind w:left="502" w:hanging="360"/>
      </w:pPr>
      <w:rPr>
        <w:rFonts w:ascii="Wingdings 2" w:hAnsi="Wingdings 2" w:cs="Wingdings"/>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Wingdings 2" w:hAnsi="Wingdings 2" w:cs="Wingdings"/>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Wingdings 2" w:hAnsi="Wingdings 2" w:cs="Wingdings"/>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Wingdings 2" w:hAnsi="Wingdings 2" w:cs="Wingdings"/>
      </w:rPr>
    </w:lvl>
  </w:abstractNum>
  <w:abstractNum w:abstractNumId="1">
    <w:nsid w:val="192F43A5"/>
    <w:multiLevelType w:val="hybridMultilevel"/>
    <w:tmpl w:val="CC16E9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7D3A36"/>
    <w:multiLevelType w:val="multilevel"/>
    <w:tmpl w:val="64767682"/>
    <w:styleLink w:val="FormatvorlageNummerierteListe"/>
    <w:lvl w:ilvl="0">
      <w:start w:val="1"/>
      <w:numFmt w:val="decimal"/>
      <w:lvlText w:val="%1."/>
      <w:lvlJc w:val="left"/>
      <w:pPr>
        <w:tabs>
          <w:tab w:val="num" w:pos="567"/>
        </w:tabs>
        <w:ind w:left="567" w:hanging="567"/>
      </w:pPr>
      <w:rPr>
        <w:rFonts w:ascii="Tahoma" w:hAnsi="Tahom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085931"/>
    <w:multiLevelType w:val="hybridMultilevel"/>
    <w:tmpl w:val="DBC21A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82E5A61"/>
    <w:multiLevelType w:val="hybridMultilevel"/>
    <w:tmpl w:val="1F44FD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9F8046D"/>
    <w:multiLevelType w:val="hybridMultilevel"/>
    <w:tmpl w:val="D27C66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C3D5C2C"/>
    <w:multiLevelType w:val="hybridMultilevel"/>
    <w:tmpl w:val="EACC5A52"/>
    <w:lvl w:ilvl="0" w:tplc="CB224B36">
      <w:start w:val="4"/>
      <w:numFmt w:val="bullet"/>
      <w:lvlText w:val="-"/>
      <w:lvlJc w:val="left"/>
      <w:pPr>
        <w:ind w:left="720" w:hanging="360"/>
      </w:pPr>
      <w:rPr>
        <w:rFonts w:ascii="Arial" w:eastAsia="Times New Roman" w:hAnsi="Arial" w:cs="Symbol" w:hint="default"/>
        <w:color w:val="auto"/>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4E"/>
    <w:rsid w:val="00015DD0"/>
    <w:rsid w:val="00023059"/>
    <w:rsid w:val="00050BE2"/>
    <w:rsid w:val="000613DA"/>
    <w:rsid w:val="00076D5C"/>
    <w:rsid w:val="000E302B"/>
    <w:rsid w:val="001331E0"/>
    <w:rsid w:val="00147415"/>
    <w:rsid w:val="0018373C"/>
    <w:rsid w:val="001B5C61"/>
    <w:rsid w:val="0021438C"/>
    <w:rsid w:val="00230907"/>
    <w:rsid w:val="00246AB8"/>
    <w:rsid w:val="002951FD"/>
    <w:rsid w:val="002D3B67"/>
    <w:rsid w:val="002E3C54"/>
    <w:rsid w:val="002F0041"/>
    <w:rsid w:val="002F47C4"/>
    <w:rsid w:val="00302587"/>
    <w:rsid w:val="00350031"/>
    <w:rsid w:val="003575FB"/>
    <w:rsid w:val="00362613"/>
    <w:rsid w:val="003922E7"/>
    <w:rsid w:val="003B0082"/>
    <w:rsid w:val="003E0671"/>
    <w:rsid w:val="00425617"/>
    <w:rsid w:val="00462B4B"/>
    <w:rsid w:val="004C520C"/>
    <w:rsid w:val="00512741"/>
    <w:rsid w:val="005248A3"/>
    <w:rsid w:val="005265BB"/>
    <w:rsid w:val="00591927"/>
    <w:rsid w:val="005956F0"/>
    <w:rsid w:val="005A2E1E"/>
    <w:rsid w:val="005C628B"/>
    <w:rsid w:val="005C6D8E"/>
    <w:rsid w:val="005E5624"/>
    <w:rsid w:val="005F5A8F"/>
    <w:rsid w:val="00662C1A"/>
    <w:rsid w:val="00665B07"/>
    <w:rsid w:val="006C4FB5"/>
    <w:rsid w:val="00714C62"/>
    <w:rsid w:val="007268C5"/>
    <w:rsid w:val="00735960"/>
    <w:rsid w:val="00820D99"/>
    <w:rsid w:val="00863A1F"/>
    <w:rsid w:val="00873701"/>
    <w:rsid w:val="008831EE"/>
    <w:rsid w:val="008F0EC0"/>
    <w:rsid w:val="008F3985"/>
    <w:rsid w:val="0091244E"/>
    <w:rsid w:val="00967BC4"/>
    <w:rsid w:val="00990D55"/>
    <w:rsid w:val="009A2A8F"/>
    <w:rsid w:val="009A3FC2"/>
    <w:rsid w:val="009D23F0"/>
    <w:rsid w:val="009E4252"/>
    <w:rsid w:val="00A863CF"/>
    <w:rsid w:val="00AC2317"/>
    <w:rsid w:val="00AD7FF8"/>
    <w:rsid w:val="00B02772"/>
    <w:rsid w:val="00B47915"/>
    <w:rsid w:val="00B66D62"/>
    <w:rsid w:val="00B851E6"/>
    <w:rsid w:val="00BB43F1"/>
    <w:rsid w:val="00BD2F33"/>
    <w:rsid w:val="00C4677F"/>
    <w:rsid w:val="00C552E2"/>
    <w:rsid w:val="00C84050"/>
    <w:rsid w:val="00CA5273"/>
    <w:rsid w:val="00CE65B0"/>
    <w:rsid w:val="00D13B91"/>
    <w:rsid w:val="00D223C5"/>
    <w:rsid w:val="00D22F59"/>
    <w:rsid w:val="00D7231E"/>
    <w:rsid w:val="00DA3E3A"/>
    <w:rsid w:val="00DA7C7B"/>
    <w:rsid w:val="00DB48DB"/>
    <w:rsid w:val="00DC2821"/>
    <w:rsid w:val="00DE0F97"/>
    <w:rsid w:val="00E30B3F"/>
    <w:rsid w:val="00E339CD"/>
    <w:rsid w:val="00E46CAE"/>
    <w:rsid w:val="00E6505E"/>
    <w:rsid w:val="00E8007A"/>
    <w:rsid w:val="00E819AC"/>
    <w:rsid w:val="00E9084E"/>
    <w:rsid w:val="00E91C71"/>
    <w:rsid w:val="00EF3A42"/>
    <w:rsid w:val="00EF483B"/>
    <w:rsid w:val="00F30475"/>
    <w:rsid w:val="00FA34BB"/>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E9084E"/>
    <w:pPr>
      <w:spacing w:before="60" w:after="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NummerierteListe">
    <w:name w:val="Formatvorlage Nummerierte Liste"/>
    <w:basedOn w:val="KeineListe"/>
    <w:rsid w:val="00FE51D9"/>
    <w:pPr>
      <w:numPr>
        <w:numId w:val="1"/>
      </w:numPr>
    </w:pPr>
  </w:style>
  <w:style w:type="table" w:styleId="Tabellenraster">
    <w:name w:val="Table Grid"/>
    <w:basedOn w:val="NormaleTabelle"/>
    <w:rsid w:val="00E9084E"/>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EE57C1"/>
  </w:style>
  <w:style w:type="character" w:styleId="BesuchterHyperlink">
    <w:name w:val="FollowedHyperlink"/>
    <w:rsid w:val="008E2BB0"/>
    <w:rPr>
      <w:color w:val="800080"/>
      <w:u w:val="single"/>
    </w:rPr>
  </w:style>
  <w:style w:type="paragraph" w:styleId="Sprechblasentext">
    <w:name w:val="Balloon Text"/>
    <w:basedOn w:val="Standard"/>
    <w:link w:val="SprechblasentextZchn"/>
    <w:rsid w:val="0078366C"/>
    <w:pPr>
      <w:spacing w:before="0" w:after="0"/>
    </w:pPr>
    <w:rPr>
      <w:rFonts w:ascii="Tahoma" w:hAnsi="Tahoma"/>
      <w:sz w:val="16"/>
      <w:szCs w:val="16"/>
      <w:lang w:val="x-none" w:eastAsia="x-none"/>
    </w:rPr>
  </w:style>
  <w:style w:type="character" w:customStyle="1" w:styleId="SprechblasentextZchn">
    <w:name w:val="Sprechblasentext Zchn"/>
    <w:link w:val="Sprechblasentext"/>
    <w:rsid w:val="0078366C"/>
    <w:rPr>
      <w:rFonts w:ascii="Tahoma" w:hAnsi="Tahoma" w:cs="Tahoma"/>
      <w:sz w:val="16"/>
      <w:szCs w:val="16"/>
    </w:rPr>
  </w:style>
  <w:style w:type="character" w:customStyle="1" w:styleId="apple-style-span">
    <w:name w:val="apple-style-span"/>
    <w:rsid w:val="00820D99"/>
  </w:style>
  <w:style w:type="character" w:customStyle="1" w:styleId="apple-converted-space">
    <w:name w:val="apple-converted-space"/>
    <w:basedOn w:val="Absatz-Standardschriftart"/>
    <w:rsid w:val="00526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E9084E"/>
    <w:pPr>
      <w:spacing w:before="60" w:after="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NummerierteListe">
    <w:name w:val="Formatvorlage Nummerierte Liste"/>
    <w:basedOn w:val="KeineListe"/>
    <w:rsid w:val="00FE51D9"/>
    <w:pPr>
      <w:numPr>
        <w:numId w:val="1"/>
      </w:numPr>
    </w:pPr>
  </w:style>
  <w:style w:type="table" w:styleId="Tabellenraster">
    <w:name w:val="Table Grid"/>
    <w:basedOn w:val="NormaleTabelle"/>
    <w:rsid w:val="00E9084E"/>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EE57C1"/>
  </w:style>
  <w:style w:type="character" w:styleId="BesuchterHyperlink">
    <w:name w:val="FollowedHyperlink"/>
    <w:rsid w:val="008E2BB0"/>
    <w:rPr>
      <w:color w:val="800080"/>
      <w:u w:val="single"/>
    </w:rPr>
  </w:style>
  <w:style w:type="paragraph" w:styleId="Sprechblasentext">
    <w:name w:val="Balloon Text"/>
    <w:basedOn w:val="Standard"/>
    <w:link w:val="SprechblasentextZchn"/>
    <w:rsid w:val="0078366C"/>
    <w:pPr>
      <w:spacing w:before="0" w:after="0"/>
    </w:pPr>
    <w:rPr>
      <w:rFonts w:ascii="Tahoma" w:hAnsi="Tahoma"/>
      <w:sz w:val="16"/>
      <w:szCs w:val="16"/>
      <w:lang w:val="x-none" w:eastAsia="x-none"/>
    </w:rPr>
  </w:style>
  <w:style w:type="character" w:customStyle="1" w:styleId="SprechblasentextZchn">
    <w:name w:val="Sprechblasentext Zchn"/>
    <w:link w:val="Sprechblasentext"/>
    <w:rsid w:val="0078366C"/>
    <w:rPr>
      <w:rFonts w:ascii="Tahoma" w:hAnsi="Tahoma" w:cs="Tahoma"/>
      <w:sz w:val="16"/>
      <w:szCs w:val="16"/>
    </w:rPr>
  </w:style>
  <w:style w:type="character" w:customStyle="1" w:styleId="apple-style-span">
    <w:name w:val="apple-style-span"/>
    <w:rsid w:val="00820D99"/>
  </w:style>
  <w:style w:type="character" w:customStyle="1" w:styleId="apple-converted-space">
    <w:name w:val="apple-converted-space"/>
    <w:basedOn w:val="Absatz-Standardschriftart"/>
    <w:rsid w:val="0052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7642">
      <w:bodyDiv w:val="1"/>
      <w:marLeft w:val="0"/>
      <w:marRight w:val="0"/>
      <w:marTop w:val="0"/>
      <w:marBottom w:val="0"/>
      <w:divBdr>
        <w:top w:val="none" w:sz="0" w:space="0" w:color="auto"/>
        <w:left w:val="none" w:sz="0" w:space="0" w:color="auto"/>
        <w:bottom w:val="none" w:sz="0" w:space="0" w:color="auto"/>
        <w:right w:val="none" w:sz="0" w:space="0" w:color="auto"/>
      </w:divBdr>
    </w:div>
    <w:div w:id="198586846">
      <w:bodyDiv w:val="1"/>
      <w:marLeft w:val="0"/>
      <w:marRight w:val="0"/>
      <w:marTop w:val="0"/>
      <w:marBottom w:val="0"/>
      <w:divBdr>
        <w:top w:val="none" w:sz="0" w:space="0" w:color="auto"/>
        <w:left w:val="none" w:sz="0" w:space="0" w:color="auto"/>
        <w:bottom w:val="none" w:sz="0" w:space="0" w:color="auto"/>
        <w:right w:val="none" w:sz="0" w:space="0" w:color="auto"/>
      </w:divBdr>
    </w:div>
    <w:div w:id="762528976">
      <w:bodyDiv w:val="1"/>
      <w:marLeft w:val="0"/>
      <w:marRight w:val="0"/>
      <w:marTop w:val="0"/>
      <w:marBottom w:val="0"/>
      <w:divBdr>
        <w:top w:val="none" w:sz="0" w:space="0" w:color="auto"/>
        <w:left w:val="none" w:sz="0" w:space="0" w:color="auto"/>
        <w:bottom w:val="none" w:sz="0" w:space="0" w:color="auto"/>
        <w:right w:val="none" w:sz="0" w:space="0" w:color="auto"/>
      </w:divBdr>
    </w:div>
    <w:div w:id="953557330">
      <w:bodyDiv w:val="1"/>
      <w:marLeft w:val="0"/>
      <w:marRight w:val="0"/>
      <w:marTop w:val="0"/>
      <w:marBottom w:val="0"/>
      <w:divBdr>
        <w:top w:val="none" w:sz="0" w:space="0" w:color="auto"/>
        <w:left w:val="none" w:sz="0" w:space="0" w:color="auto"/>
        <w:bottom w:val="none" w:sz="0" w:space="0" w:color="auto"/>
        <w:right w:val="none" w:sz="0" w:space="0" w:color="auto"/>
      </w:divBdr>
    </w:div>
    <w:div w:id="1032655402">
      <w:bodyDiv w:val="1"/>
      <w:marLeft w:val="0"/>
      <w:marRight w:val="0"/>
      <w:marTop w:val="0"/>
      <w:marBottom w:val="0"/>
      <w:divBdr>
        <w:top w:val="none" w:sz="0" w:space="0" w:color="auto"/>
        <w:left w:val="none" w:sz="0" w:space="0" w:color="auto"/>
        <w:bottom w:val="none" w:sz="0" w:space="0" w:color="auto"/>
        <w:right w:val="none" w:sz="0" w:space="0" w:color="auto"/>
      </w:divBdr>
    </w:div>
    <w:div w:id="1048989817">
      <w:bodyDiv w:val="1"/>
      <w:marLeft w:val="0"/>
      <w:marRight w:val="0"/>
      <w:marTop w:val="0"/>
      <w:marBottom w:val="0"/>
      <w:divBdr>
        <w:top w:val="none" w:sz="0" w:space="0" w:color="auto"/>
        <w:left w:val="none" w:sz="0" w:space="0" w:color="auto"/>
        <w:bottom w:val="none" w:sz="0" w:space="0" w:color="auto"/>
        <w:right w:val="none" w:sz="0" w:space="0" w:color="auto"/>
      </w:divBdr>
    </w:div>
    <w:div w:id="1459296397">
      <w:bodyDiv w:val="1"/>
      <w:marLeft w:val="0"/>
      <w:marRight w:val="0"/>
      <w:marTop w:val="0"/>
      <w:marBottom w:val="0"/>
      <w:divBdr>
        <w:top w:val="none" w:sz="0" w:space="0" w:color="auto"/>
        <w:left w:val="none" w:sz="0" w:space="0" w:color="auto"/>
        <w:bottom w:val="none" w:sz="0" w:space="0" w:color="auto"/>
        <w:right w:val="none" w:sz="0" w:space="0" w:color="auto"/>
      </w:divBdr>
    </w:div>
    <w:div w:id="1732654321">
      <w:bodyDiv w:val="1"/>
      <w:marLeft w:val="0"/>
      <w:marRight w:val="0"/>
      <w:marTop w:val="0"/>
      <w:marBottom w:val="0"/>
      <w:divBdr>
        <w:top w:val="none" w:sz="0" w:space="0" w:color="auto"/>
        <w:left w:val="none" w:sz="0" w:space="0" w:color="auto"/>
        <w:bottom w:val="none" w:sz="0" w:space="0" w:color="auto"/>
        <w:right w:val="none" w:sz="0" w:space="0" w:color="auto"/>
      </w:divBdr>
    </w:div>
    <w:div w:id="1948195681">
      <w:bodyDiv w:val="1"/>
      <w:marLeft w:val="0"/>
      <w:marRight w:val="0"/>
      <w:marTop w:val="0"/>
      <w:marBottom w:val="0"/>
      <w:divBdr>
        <w:top w:val="none" w:sz="0" w:space="0" w:color="auto"/>
        <w:left w:val="none" w:sz="0" w:space="0" w:color="auto"/>
        <w:bottom w:val="none" w:sz="0" w:space="0" w:color="auto"/>
        <w:right w:val="none" w:sz="0" w:space="0" w:color="auto"/>
      </w:divBdr>
      <w:divsChild>
        <w:div w:id="1558467456">
          <w:marLeft w:val="0"/>
          <w:marRight w:val="0"/>
          <w:marTop w:val="0"/>
          <w:marBottom w:val="0"/>
          <w:divBdr>
            <w:top w:val="none" w:sz="0" w:space="0" w:color="auto"/>
            <w:left w:val="none" w:sz="0" w:space="0" w:color="auto"/>
            <w:bottom w:val="none" w:sz="0" w:space="0" w:color="auto"/>
            <w:right w:val="none" w:sz="0" w:space="0" w:color="auto"/>
          </w:divBdr>
          <w:divsChild>
            <w:div w:id="1932007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931164">
                  <w:marLeft w:val="0"/>
                  <w:marRight w:val="0"/>
                  <w:marTop w:val="0"/>
                  <w:marBottom w:val="0"/>
                  <w:divBdr>
                    <w:top w:val="none" w:sz="0" w:space="0" w:color="auto"/>
                    <w:left w:val="none" w:sz="0" w:space="0" w:color="auto"/>
                    <w:bottom w:val="none" w:sz="0" w:space="0" w:color="auto"/>
                    <w:right w:val="none" w:sz="0" w:space="0" w:color="auto"/>
                  </w:divBdr>
                  <w:divsChild>
                    <w:div w:id="1497454432">
                      <w:marLeft w:val="0"/>
                      <w:marRight w:val="0"/>
                      <w:marTop w:val="0"/>
                      <w:marBottom w:val="0"/>
                      <w:divBdr>
                        <w:top w:val="none" w:sz="0" w:space="0" w:color="auto"/>
                        <w:left w:val="none" w:sz="0" w:space="0" w:color="auto"/>
                        <w:bottom w:val="none" w:sz="0" w:space="0" w:color="auto"/>
                        <w:right w:val="none" w:sz="0" w:space="0" w:color="auto"/>
                      </w:divBdr>
                      <w:divsChild>
                        <w:div w:id="664819105">
                          <w:marLeft w:val="0"/>
                          <w:marRight w:val="0"/>
                          <w:marTop w:val="0"/>
                          <w:marBottom w:val="0"/>
                          <w:divBdr>
                            <w:top w:val="none" w:sz="0" w:space="0" w:color="auto"/>
                            <w:left w:val="none" w:sz="0" w:space="0" w:color="auto"/>
                            <w:bottom w:val="none" w:sz="0" w:space="0" w:color="auto"/>
                            <w:right w:val="none" w:sz="0" w:space="0" w:color="auto"/>
                          </w:divBdr>
                        </w:div>
                        <w:div w:id="816455261">
                          <w:marLeft w:val="0"/>
                          <w:marRight w:val="0"/>
                          <w:marTop w:val="0"/>
                          <w:marBottom w:val="0"/>
                          <w:divBdr>
                            <w:top w:val="none" w:sz="0" w:space="0" w:color="auto"/>
                            <w:left w:val="none" w:sz="0" w:space="0" w:color="auto"/>
                            <w:bottom w:val="none" w:sz="0" w:space="0" w:color="auto"/>
                            <w:right w:val="none" w:sz="0" w:space="0" w:color="auto"/>
                          </w:divBdr>
                        </w:div>
                        <w:div w:id="17006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b.bayer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03E6-84AA-4397-8D21-FAB76AC5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Wahl des Seminars</vt:lpstr>
      <vt:lpstr>Wahl des Seminars</vt:lpstr>
    </vt:vector>
  </TitlesOfParts>
  <Company>Stadt Augsburg</Company>
  <LinksUpToDate>false</LinksUpToDate>
  <CharactersWithSpaces>6757</CharactersWithSpaces>
  <SharedDoc>false</SharedDoc>
  <HLinks>
    <vt:vector size="6" baseType="variant">
      <vt:variant>
        <vt:i4>131075</vt:i4>
      </vt:variant>
      <vt:variant>
        <vt:i4>0</vt:i4>
      </vt:variant>
      <vt:variant>
        <vt:i4>0</vt:i4>
      </vt:variant>
      <vt:variant>
        <vt:i4>5</vt:i4>
      </vt:variant>
      <vt:variant>
        <vt:lpwstr>http://www.isb.bayern.de/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 des Seminars</dc:title>
  <dc:creator>Oberstufenkoordinatoren</dc:creator>
  <cp:lastModifiedBy>OSK</cp:lastModifiedBy>
  <cp:revision>2</cp:revision>
  <cp:lastPrinted>2018-11-05T14:02:00Z</cp:lastPrinted>
  <dcterms:created xsi:type="dcterms:W3CDTF">2019-10-02T08:46:00Z</dcterms:created>
  <dcterms:modified xsi:type="dcterms:W3CDTF">2019-10-02T08:46:00Z</dcterms:modified>
</cp:coreProperties>
</file>